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475"/>
      </w:tblGrid>
      <w:tr w:rsidR="00AA2634" w:rsidRPr="00AA2634">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7475"/>
            </w:tblGrid>
            <w:tr w:rsidR="00AA2634" w:rsidRPr="00AA2634" w:rsidTr="001902DA">
              <w:trPr>
                <w:tblCellSpacing w:w="0" w:type="dxa"/>
                <w:jc w:val="center"/>
              </w:trPr>
              <w:tc>
                <w:tcPr>
                  <w:tcW w:w="7475" w:type="dxa"/>
                  <w:vAlign w:val="center"/>
                  <w:hideMark/>
                </w:tcPr>
                <w:p w:rsidR="00AA2634" w:rsidRPr="00AA2634" w:rsidRDefault="00AA2634" w:rsidP="00AA2634">
                  <w:pPr>
                    <w:widowControl/>
                    <w:spacing w:line="440" w:lineRule="atLeast"/>
                    <w:jc w:val="center"/>
                    <w:rPr>
                      <w:rFonts w:ascii="ˎ̥" w:eastAsia="宋体" w:hAnsi="ˎ̥" w:cs="宋体"/>
                      <w:color w:val="000000"/>
                      <w:kern w:val="0"/>
                      <w:sz w:val="36"/>
                      <w:szCs w:val="36"/>
                    </w:rPr>
                  </w:pPr>
                  <w:r w:rsidRPr="00AA2634">
                    <w:rPr>
                      <w:rFonts w:ascii="黑体" w:eastAsia="黑体" w:hAnsi="黑体" w:cs="宋体" w:hint="eastAsia"/>
                      <w:color w:val="000000"/>
                      <w:kern w:val="0"/>
                      <w:sz w:val="36"/>
                      <w:szCs w:val="36"/>
                    </w:rPr>
                    <w:t>国家发展和改革委员会行政审批事项公开目录</w:t>
                  </w:r>
                </w:p>
                <w:p w:rsidR="00AA2634" w:rsidRPr="00AA2634" w:rsidRDefault="00AA2634" w:rsidP="00AA2634">
                  <w:pPr>
                    <w:widowControl/>
                    <w:jc w:val="left"/>
                    <w:rPr>
                      <w:rFonts w:ascii="ˎ̥" w:eastAsia="宋体" w:hAnsi="ˎ̥" w:cs="宋体"/>
                      <w:color w:val="00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701"/>
                    <w:gridCol w:w="458"/>
                    <w:gridCol w:w="771"/>
                    <w:gridCol w:w="876"/>
                    <w:gridCol w:w="483"/>
                    <w:gridCol w:w="2302"/>
                    <w:gridCol w:w="665"/>
                    <w:gridCol w:w="683"/>
                    <w:gridCol w:w="526"/>
                  </w:tblGrid>
                  <w:tr w:rsidR="00AA2634" w:rsidRPr="00AA2634">
                    <w:trPr>
                      <w:trHeight w:val="20"/>
                      <w:tblHeader/>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黑体" w:eastAsia="黑体" w:hAnsi="黑体" w:cs="宋体" w:hint="eastAsia"/>
                            <w:color w:val="000000"/>
                            <w:kern w:val="0"/>
                            <w:sz w:val="19"/>
                            <w:szCs w:val="19"/>
                          </w:rPr>
                          <w:t>项目</w:t>
                        </w:r>
                        <w:r w:rsidRPr="00AA2634">
                          <w:rPr>
                            <w:rFonts w:ascii="黑体" w:eastAsia="黑体" w:hAnsi="黑体" w:cs="宋体" w:hint="eastAsia"/>
                            <w:color w:val="000000"/>
                            <w:kern w:val="0"/>
                            <w:sz w:val="19"/>
                            <w:szCs w:val="19"/>
                          </w:rPr>
                          <w:br/>
                          <w:t>编码</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黑体" w:eastAsia="黑体" w:hAnsi="黑体" w:cs="宋体" w:hint="eastAsia"/>
                            <w:color w:val="000000"/>
                            <w:kern w:val="0"/>
                            <w:sz w:val="19"/>
                            <w:szCs w:val="19"/>
                          </w:rPr>
                          <w:t>审批</w:t>
                        </w:r>
                        <w:r w:rsidRPr="00AA2634">
                          <w:rPr>
                            <w:rFonts w:ascii="黑体" w:eastAsia="黑体" w:hAnsi="黑体" w:cs="宋体" w:hint="eastAsia"/>
                            <w:color w:val="000000"/>
                            <w:kern w:val="0"/>
                            <w:sz w:val="19"/>
                            <w:szCs w:val="19"/>
                          </w:rPr>
                          <w:br/>
                          <w:t>部门</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黑体" w:eastAsia="黑体" w:hAnsi="黑体" w:cs="宋体" w:hint="eastAsia"/>
                            <w:color w:val="000000"/>
                            <w:kern w:val="0"/>
                            <w:sz w:val="19"/>
                            <w:szCs w:val="19"/>
                          </w:rPr>
                          <w:t>项目名称</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黑体" w:eastAsia="黑体" w:hAnsi="黑体" w:cs="宋体" w:hint="eastAsia"/>
                            <w:color w:val="000000"/>
                            <w:kern w:val="0"/>
                            <w:sz w:val="19"/>
                            <w:szCs w:val="19"/>
                          </w:rPr>
                          <w:t>子项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center"/>
                          <w:rPr>
                            <w:rFonts w:ascii="ˎ̥" w:eastAsia="宋体" w:hAnsi="ˎ̥" w:cs="宋体" w:hint="eastAsia"/>
                            <w:color w:val="000000"/>
                            <w:kern w:val="0"/>
                            <w:sz w:val="19"/>
                            <w:szCs w:val="19"/>
                          </w:rPr>
                        </w:pPr>
                        <w:r w:rsidRPr="00AA2634">
                          <w:rPr>
                            <w:rFonts w:ascii="黑体" w:eastAsia="黑体" w:hAnsi="黑体" w:cs="宋体" w:hint="eastAsia"/>
                            <w:color w:val="000000"/>
                            <w:kern w:val="0"/>
                            <w:sz w:val="19"/>
                            <w:szCs w:val="19"/>
                          </w:rPr>
                          <w:t>审批</w:t>
                        </w:r>
                      </w:p>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黑体" w:eastAsia="黑体" w:hAnsi="黑体" w:cs="宋体" w:hint="eastAsia"/>
                            <w:color w:val="000000"/>
                            <w:kern w:val="0"/>
                            <w:sz w:val="19"/>
                            <w:szCs w:val="19"/>
                          </w:rPr>
                          <w:t>类别</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center"/>
                          <w:rPr>
                            <w:rFonts w:ascii="ˎ̥" w:eastAsia="宋体" w:hAnsi="ˎ̥" w:cs="宋体"/>
                            <w:color w:val="000000"/>
                            <w:kern w:val="0"/>
                            <w:sz w:val="19"/>
                            <w:szCs w:val="19"/>
                          </w:rPr>
                        </w:pPr>
                        <w:r w:rsidRPr="00AA2634">
                          <w:rPr>
                            <w:rFonts w:ascii="黑体" w:eastAsia="黑体" w:hAnsi="黑体" w:cs="宋体" w:hint="eastAsia"/>
                            <w:color w:val="000000"/>
                            <w:kern w:val="0"/>
                            <w:sz w:val="19"/>
                            <w:szCs w:val="19"/>
                          </w:rPr>
                          <w:t>设定依据</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黑体" w:eastAsia="黑体" w:hAnsi="黑体" w:cs="宋体" w:hint="eastAsia"/>
                            <w:color w:val="000000"/>
                            <w:kern w:val="0"/>
                            <w:sz w:val="19"/>
                            <w:szCs w:val="19"/>
                          </w:rPr>
                          <w:t>共同审批部门</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黑体" w:eastAsia="黑体" w:hAnsi="黑体" w:cs="宋体" w:hint="eastAsia"/>
                            <w:color w:val="000000"/>
                            <w:kern w:val="0"/>
                            <w:sz w:val="19"/>
                            <w:szCs w:val="19"/>
                          </w:rPr>
                          <w:t>审批对象</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黑体" w:eastAsia="黑体" w:hAnsi="黑体" w:cs="宋体" w:hint="eastAsia"/>
                            <w:color w:val="000000"/>
                            <w:kern w:val="0"/>
                            <w:sz w:val="19"/>
                            <w:szCs w:val="19"/>
                          </w:rPr>
                          <w:t>备注</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01001</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境内外资银行外债借款规模审批</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《国务院对确需保留的行政审批项目设定行政许可的决定》（国务院令第412号）第6项：“境内外资银行外债借款规模审批”。实施机关：国家发展改革委。</w:t>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境内外资银行外债管理办法》（国家发展改革委、中国人民银行、银监会令第9号）第五条：“境内外资银行借用外债，签约期限在1年期以上（不含1年期）的中长期外债，由国家发展改革委按年度核定发生额”。</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01002</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京都议定书</w:t>
                        </w:r>
                        <w:proofErr w:type="gramStart"/>
                        <w:r w:rsidRPr="00AA2634">
                          <w:rPr>
                            <w:rFonts w:ascii="宋体" w:eastAsia="宋体" w:hAnsi="宋体" w:cs="宋体" w:hint="eastAsia"/>
                            <w:color w:val="000000"/>
                            <w:kern w:val="0"/>
                            <w:sz w:val="19"/>
                            <w:szCs w:val="19"/>
                          </w:rPr>
                          <w:t>清洁发展</w:t>
                        </w:r>
                        <w:proofErr w:type="gramEnd"/>
                        <w:r w:rsidRPr="00AA2634">
                          <w:rPr>
                            <w:rFonts w:ascii="宋体" w:eastAsia="宋体" w:hAnsi="宋体" w:cs="宋体" w:hint="eastAsia"/>
                            <w:color w:val="000000"/>
                            <w:kern w:val="0"/>
                            <w:sz w:val="19"/>
                            <w:szCs w:val="19"/>
                          </w:rPr>
                          <w:t>机制合作项目审批</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《国务院对确需保留的行政审批项目设定行政许可的决定》（国务院令第412号）第5项：“京都议定书清洁发展机制合作项目审批”。实施机关：国家发展改革委。</w:t>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清洁发展机制项目运行管理办法》（国家发展改革委、科技部、外交部、财政部令第11号）（2011年8月3日）第九条：“国家发展改革委是中国清洁发展机制项目合作的主管机构，在中国开展清洁发展机制合作项目须经国家发展改革委批准”。</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科学技术部、外交部</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01003</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w:t>
                        </w:r>
                        <w:r w:rsidRPr="00AA2634">
                          <w:rPr>
                            <w:rFonts w:ascii="宋体" w:eastAsia="宋体" w:hAnsi="宋体" w:cs="宋体" w:hint="eastAsia"/>
                            <w:color w:val="000000"/>
                            <w:kern w:val="0"/>
                            <w:sz w:val="19"/>
                            <w:szCs w:val="19"/>
                          </w:rPr>
                          <w:lastRenderedPageBreak/>
                          <w:t>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企业</w:t>
                        </w:r>
                        <w:r w:rsidRPr="00AA2634">
                          <w:rPr>
                            <w:rFonts w:ascii="宋体" w:eastAsia="宋体" w:hAnsi="宋体" w:cs="宋体" w:hint="eastAsia"/>
                            <w:color w:val="000000"/>
                            <w:kern w:val="0"/>
                            <w:sz w:val="19"/>
                            <w:szCs w:val="19"/>
                          </w:rPr>
                          <w:lastRenderedPageBreak/>
                          <w:t>债券发行核准</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w:t>
                        </w:r>
                        <w:r w:rsidRPr="00AA2634">
                          <w:rPr>
                            <w:rFonts w:ascii="宋体" w:eastAsia="宋体" w:hAnsi="宋体" w:cs="宋体" w:hint="eastAsia"/>
                            <w:color w:val="000000"/>
                            <w:kern w:val="0"/>
                            <w:sz w:val="19"/>
                            <w:szCs w:val="19"/>
                          </w:rPr>
                          <w:lastRenderedPageBreak/>
                          <w:t>政</w:t>
                        </w:r>
                        <w:r w:rsidRPr="00AA2634">
                          <w:rPr>
                            <w:rFonts w:ascii="宋体" w:eastAsia="宋体" w:hAnsi="宋体" w:cs="宋体" w:hint="eastAsia"/>
                            <w:color w:val="000000"/>
                            <w:kern w:val="0"/>
                            <w:sz w:val="19"/>
                            <w:szCs w:val="19"/>
                          </w:rPr>
                          <w:br/>
                          <w:t>许可</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lastRenderedPageBreak/>
                          <w:t>《中华人民共和国</w:t>
                        </w:r>
                        <w:r w:rsidRPr="00AA2634">
                          <w:rPr>
                            <w:rFonts w:ascii="宋体" w:eastAsia="宋体" w:hAnsi="宋体" w:cs="宋体" w:hint="eastAsia"/>
                            <w:color w:val="000000"/>
                            <w:kern w:val="0"/>
                            <w:sz w:val="19"/>
                            <w:szCs w:val="19"/>
                          </w:rPr>
                          <w:lastRenderedPageBreak/>
                          <w:t>证券法》第十条：“公开发行证券，必须符合法律、行政法规规定的条件，并依法报经国务院证券监督管理机构或者国务院授权的部门核准；未经依法核准，任何单位和个人不得公开发行证券”。第六十四条：“经国务院证券监督管理机构核准依法公开发行股票，或者经国务院授权的部门核准依法公开发行公司债券，应当公告招股说明书、公司债券募集办法。”</w:t>
                        </w:r>
                        <w:r w:rsidRPr="00AA2634">
                          <w:rPr>
                            <w:rFonts w:ascii="宋体" w:eastAsia="宋体" w:hAnsi="宋体" w:cs="宋体" w:hint="eastAsia"/>
                            <w:color w:val="000000"/>
                            <w:kern w:val="0"/>
                            <w:sz w:val="19"/>
                            <w:szCs w:val="19"/>
                          </w:rPr>
                          <w:br w:type="page"/>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债券管理条例》（国务院令第121号）第十一条：“企业发行企业债券必须按照本条例的规定进行审批；未经批准的，不得擅自发行和变相发行企业债券。中央企业发行企业债券，由中国人民银行会同国家计划委员会审批；地方企业发行企业债券，由中国人民银行省、自治区、直辖市、计划单列市分行会同同级计划主管部门审批。”</w:t>
                        </w:r>
                        <w:r w:rsidRPr="00AA2634">
                          <w:rPr>
                            <w:rFonts w:ascii="宋体" w:eastAsia="宋体" w:hAnsi="宋体" w:cs="宋体" w:hint="eastAsia"/>
                            <w:color w:val="000000"/>
                            <w:kern w:val="0"/>
                            <w:sz w:val="19"/>
                            <w:szCs w:val="19"/>
                          </w:rPr>
                          <w:br w:type="page"/>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《国务院批准中国人民银行〈关于企业债券改由国家计委审批的请示〉（银发〔1999〕364号）》国办“办2884号”，企业债券的有关工作先由国家计委负责。</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01004</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中央投资项目招标代理机构</w:t>
                        </w:r>
                        <w:r w:rsidRPr="00AA2634">
                          <w:rPr>
                            <w:rFonts w:ascii="宋体" w:eastAsia="宋体" w:hAnsi="宋体" w:cs="宋体" w:hint="eastAsia"/>
                            <w:color w:val="000000"/>
                            <w:kern w:val="0"/>
                            <w:sz w:val="19"/>
                            <w:szCs w:val="19"/>
                          </w:rPr>
                          <w:lastRenderedPageBreak/>
                          <w:t>资格认定</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《中华人民共和国政府采购法》第十九条第一款：“采购人可以委托经国务院有关部门或者省级人民政府有关部门认定资格的采购代理机</w:t>
                        </w:r>
                        <w:r w:rsidRPr="00AA2634">
                          <w:rPr>
                            <w:rFonts w:ascii="宋体" w:eastAsia="宋体" w:hAnsi="宋体" w:cs="宋体" w:hint="eastAsia"/>
                            <w:color w:val="000000"/>
                            <w:kern w:val="0"/>
                            <w:sz w:val="19"/>
                            <w:szCs w:val="19"/>
                          </w:rPr>
                          <w:lastRenderedPageBreak/>
                          <w:t>构，在委托的范围内办理政府采购事宜”。</w:t>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《中华人民共和国招标投标法》第十四条：“从事其他招标代理业务的招标代理机构，其资格认定的主管部门由国务院规定”。</w:t>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中华人民共和国招标投标法实施条例》（国务院令第613号）第十一条：“招标代理机构的资格依照法律和国务院的规定由有关部门认定。国务院住房城乡建设、商务、发展改革、工业和信息化等部门，按照规定的职责分工对招标代理机构依法实施监督管理”。</w:t>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《国务院关于投资体制改革的决定》（国发〔2004〕20号）第三部分第（五）：“对咨询评估、招标代理等中介机构实行资质管理，提高中介服务质量”。</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01005</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工程咨询单位资格认定</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《国务院对确需保留的行政审批项目设定行政许可的决定》（国务院令第412号）第10项：工程咨询单位资格认定。实施机关：国家发展改革委。</w:t>
                        </w:r>
                        <w:r w:rsidRPr="00AA2634">
                          <w:rPr>
                            <w:rFonts w:ascii="宋体" w:eastAsia="宋体" w:hAnsi="宋体" w:cs="宋体" w:hint="eastAsia"/>
                            <w:color w:val="000000"/>
                            <w:kern w:val="0"/>
                            <w:sz w:val="19"/>
                            <w:szCs w:val="19"/>
                          </w:rPr>
                          <w:br w:type="page"/>
                          <w:t>《国务院关于投资体制改革的决定》（国发〔2004〕20号）第三部分第（五）：“对咨询评估、招标代理等中介机构实行资质管理，提高中介服务质量”。</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企业及事业单位</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01006</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w:t>
                        </w:r>
                        <w:r w:rsidRPr="00AA2634">
                          <w:rPr>
                            <w:rFonts w:ascii="宋体" w:eastAsia="宋体" w:hAnsi="宋体" w:cs="宋体" w:hint="eastAsia"/>
                            <w:color w:val="000000"/>
                            <w:kern w:val="0"/>
                            <w:sz w:val="19"/>
                            <w:szCs w:val="19"/>
                          </w:rPr>
                          <w:lastRenderedPageBreak/>
                          <w:t>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价格</w:t>
                        </w:r>
                        <w:proofErr w:type="gramStart"/>
                        <w:r w:rsidRPr="00AA2634">
                          <w:rPr>
                            <w:rFonts w:ascii="宋体" w:eastAsia="宋体" w:hAnsi="宋体" w:cs="宋体" w:hint="eastAsia"/>
                            <w:color w:val="000000"/>
                            <w:kern w:val="0"/>
                            <w:sz w:val="19"/>
                            <w:szCs w:val="19"/>
                          </w:rPr>
                          <w:t>鉴证师注</w:t>
                        </w:r>
                        <w:r w:rsidRPr="00AA2634">
                          <w:rPr>
                            <w:rFonts w:ascii="宋体" w:eastAsia="宋体" w:hAnsi="宋体" w:cs="宋体" w:hint="eastAsia"/>
                            <w:color w:val="000000"/>
                            <w:kern w:val="0"/>
                            <w:sz w:val="19"/>
                            <w:szCs w:val="19"/>
                          </w:rPr>
                          <w:lastRenderedPageBreak/>
                          <w:t>册</w:t>
                        </w:r>
                        <w:proofErr w:type="gramEnd"/>
                        <w:r w:rsidRPr="00AA2634">
                          <w:rPr>
                            <w:rFonts w:ascii="宋体" w:eastAsia="宋体" w:hAnsi="宋体" w:cs="宋体" w:hint="eastAsia"/>
                            <w:color w:val="000000"/>
                            <w:kern w:val="0"/>
                            <w:sz w:val="19"/>
                            <w:szCs w:val="19"/>
                          </w:rPr>
                          <w:t>核准</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w:t>
                        </w:r>
                        <w:r w:rsidRPr="00AA2634">
                          <w:rPr>
                            <w:rFonts w:ascii="宋体" w:eastAsia="宋体" w:hAnsi="宋体" w:cs="宋体" w:hint="eastAsia"/>
                            <w:color w:val="000000"/>
                            <w:kern w:val="0"/>
                            <w:sz w:val="19"/>
                            <w:szCs w:val="19"/>
                          </w:rPr>
                          <w:lastRenderedPageBreak/>
                          <w:t>可</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《国务院对确需保留的行政审批项目设定行政许可的决定》（国务</w:t>
                        </w:r>
                        <w:r w:rsidRPr="00AA2634">
                          <w:rPr>
                            <w:rFonts w:ascii="宋体" w:eastAsia="宋体" w:hAnsi="宋体" w:cs="宋体" w:hint="eastAsia"/>
                            <w:color w:val="000000"/>
                            <w:kern w:val="0"/>
                            <w:sz w:val="19"/>
                            <w:szCs w:val="19"/>
                          </w:rPr>
                          <w:lastRenderedPageBreak/>
                          <w:t>院令第412号）第13项：“价格</w:t>
                        </w:r>
                        <w:proofErr w:type="gramStart"/>
                        <w:r w:rsidRPr="00AA2634">
                          <w:rPr>
                            <w:rFonts w:ascii="宋体" w:eastAsia="宋体" w:hAnsi="宋体" w:cs="宋体" w:hint="eastAsia"/>
                            <w:color w:val="000000"/>
                            <w:kern w:val="0"/>
                            <w:sz w:val="19"/>
                            <w:szCs w:val="19"/>
                          </w:rPr>
                          <w:t>鉴证</w:t>
                        </w:r>
                        <w:proofErr w:type="gramEnd"/>
                        <w:r w:rsidRPr="00AA2634">
                          <w:rPr>
                            <w:rFonts w:ascii="宋体" w:eastAsia="宋体" w:hAnsi="宋体" w:cs="宋体" w:hint="eastAsia"/>
                            <w:color w:val="000000"/>
                            <w:kern w:val="0"/>
                            <w:sz w:val="19"/>
                            <w:szCs w:val="19"/>
                          </w:rPr>
                          <w:t>师注册”。实施机关：国家发展改革委</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个人</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01007</w:t>
                        </w:r>
                      </w:p>
                    </w:tc>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石油天然气（含煤层气）对外合作项目（</w:t>
                        </w:r>
                        <w:proofErr w:type="gramStart"/>
                        <w:r w:rsidRPr="00AA2634">
                          <w:rPr>
                            <w:rFonts w:ascii="宋体" w:eastAsia="宋体" w:hAnsi="宋体" w:cs="宋体" w:hint="eastAsia"/>
                            <w:color w:val="000000"/>
                            <w:kern w:val="0"/>
                            <w:sz w:val="19"/>
                            <w:szCs w:val="19"/>
                          </w:rPr>
                          <w:t>含风险</w:t>
                        </w:r>
                        <w:proofErr w:type="gramEnd"/>
                        <w:r w:rsidRPr="00AA2634">
                          <w:rPr>
                            <w:rFonts w:ascii="宋体" w:eastAsia="宋体" w:hAnsi="宋体" w:cs="宋体" w:hint="eastAsia"/>
                            <w:color w:val="000000"/>
                            <w:kern w:val="0"/>
                            <w:sz w:val="19"/>
                            <w:szCs w:val="19"/>
                          </w:rPr>
                          <w:t>勘探和合作开发区块和总体开发方案）审批</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1.煤层气对外合作项目（</w:t>
                        </w:r>
                        <w:proofErr w:type="gramStart"/>
                        <w:r w:rsidRPr="00AA2634">
                          <w:rPr>
                            <w:rFonts w:ascii="宋体" w:eastAsia="宋体" w:hAnsi="宋体" w:cs="宋体" w:hint="eastAsia"/>
                            <w:color w:val="000000"/>
                            <w:kern w:val="0"/>
                            <w:sz w:val="19"/>
                            <w:szCs w:val="19"/>
                          </w:rPr>
                          <w:t>含风险</w:t>
                        </w:r>
                        <w:proofErr w:type="gramEnd"/>
                        <w:r w:rsidRPr="00AA2634">
                          <w:rPr>
                            <w:rFonts w:ascii="宋体" w:eastAsia="宋体" w:hAnsi="宋体" w:cs="宋体" w:hint="eastAsia"/>
                            <w:color w:val="000000"/>
                            <w:kern w:val="0"/>
                            <w:sz w:val="19"/>
                            <w:szCs w:val="19"/>
                          </w:rPr>
                          <w:t>勘探和合作开发区块和总体开发方案）审批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6358"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中华人民共和国对外合作开采陆上石油资源条例》（国务院令第606号）第6条：“国务院指定的部门负责在国务院批准的合作区域内，划分合作区块，确定合作方式，组织制定有关规划和政策，审批对外合作油（气）田总体开发方案”。第30条：“对外合作开采煤层资源由中联煤层气有限责任公司、国务院指定的其他公司实施专营，并参照本条例执行”。</w:t>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《国务院关于同意成立中联煤层气有限责任公司的批复》（</w:t>
                        </w:r>
                        <w:proofErr w:type="gramStart"/>
                        <w:r w:rsidRPr="00AA2634">
                          <w:rPr>
                            <w:rFonts w:ascii="宋体" w:eastAsia="宋体" w:hAnsi="宋体" w:cs="宋体" w:hint="eastAsia"/>
                            <w:color w:val="000000"/>
                            <w:kern w:val="0"/>
                            <w:sz w:val="19"/>
                            <w:szCs w:val="19"/>
                          </w:rPr>
                          <w:t>国函〔1996〕</w:t>
                        </w:r>
                        <w:proofErr w:type="gramEnd"/>
                        <w:r w:rsidRPr="00AA2634">
                          <w:rPr>
                            <w:rFonts w:ascii="宋体" w:eastAsia="宋体" w:hAnsi="宋体" w:cs="宋体" w:hint="eastAsia"/>
                            <w:color w:val="000000"/>
                            <w:kern w:val="0"/>
                            <w:sz w:val="19"/>
                            <w:szCs w:val="19"/>
                          </w:rPr>
                          <w:t>23条）第四条：煤层气资源勘探开发管理工作，参照国务院批准的石油天然气资源勘探开采管理模式，由国家计委归口管理。</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具有对外合作开采煤层气专营权的企业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2.石油天然气对外合作项目（</w:t>
                        </w:r>
                        <w:proofErr w:type="gramStart"/>
                        <w:r w:rsidRPr="00AA2634">
                          <w:rPr>
                            <w:rFonts w:ascii="宋体" w:eastAsia="宋体" w:hAnsi="宋体" w:cs="宋体" w:hint="eastAsia"/>
                            <w:color w:val="000000"/>
                            <w:kern w:val="0"/>
                            <w:sz w:val="19"/>
                            <w:szCs w:val="19"/>
                          </w:rPr>
                          <w:t>含风险</w:t>
                        </w:r>
                        <w:proofErr w:type="gramEnd"/>
                        <w:r w:rsidRPr="00AA2634">
                          <w:rPr>
                            <w:rFonts w:ascii="宋体" w:eastAsia="宋体" w:hAnsi="宋体" w:cs="宋体" w:hint="eastAsia"/>
                            <w:color w:val="000000"/>
                            <w:kern w:val="0"/>
                            <w:sz w:val="19"/>
                            <w:szCs w:val="19"/>
                          </w:rPr>
                          <w:t>勘探和开发区块总体开发方案）审批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01008</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甲级价格评估机构资质认定</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《国务院对确需保留的行政审批项目设定行政许可的决定》（国务院令第412号）第17项：“价格评估机构资质认定”。实施机关为国家发展改革委、省级人民政府发展改革（物价主管）部门。</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01009</w:t>
                        </w:r>
                      </w:p>
                    </w:tc>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粮食、煤炭出口配额和粮食、棉花进</w:t>
                        </w:r>
                        <w:r w:rsidRPr="00AA2634">
                          <w:rPr>
                            <w:rFonts w:ascii="宋体" w:eastAsia="宋体" w:hAnsi="宋体" w:cs="宋体" w:hint="eastAsia"/>
                            <w:color w:val="000000"/>
                            <w:kern w:val="0"/>
                            <w:sz w:val="19"/>
                            <w:szCs w:val="19"/>
                          </w:rPr>
                          <w:lastRenderedPageBreak/>
                          <w:t>口关税配额审批</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1.粮食出口配额审批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《中华人民共和国对外贸易法》第二十条：“进出口货物配额、关税配额，由国务院对外贸易主管部门或者国务院其他有关部门在各自的职责范围内，按照公开、公</w:t>
                        </w:r>
                        <w:r w:rsidRPr="00AA2634">
                          <w:rPr>
                            <w:rFonts w:ascii="宋体" w:eastAsia="宋体" w:hAnsi="宋体" w:cs="宋体" w:hint="eastAsia"/>
                            <w:color w:val="000000"/>
                            <w:kern w:val="0"/>
                            <w:sz w:val="19"/>
                            <w:szCs w:val="19"/>
                          </w:rPr>
                          <w:lastRenderedPageBreak/>
                          <w:t>平、公正和效益的原则进行分配”。</w:t>
                        </w:r>
                        <w:r w:rsidRPr="00AA2634">
                          <w:rPr>
                            <w:rFonts w:ascii="宋体" w:eastAsia="宋体" w:hAnsi="宋体" w:cs="宋体" w:hint="eastAsia"/>
                            <w:color w:val="000000"/>
                            <w:kern w:val="0"/>
                            <w:sz w:val="19"/>
                            <w:szCs w:val="19"/>
                          </w:rPr>
                          <w:br w:type="page"/>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《中华人民共和国货物进出口管理条例》（国务院令第332号）第三十七条：“实行配额管理的限制出口货物，由国务院外经贸主管部门和国务院有关经济管理部门按照国务院规定的职责划分进行管理”。</w:t>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ˎ̥" w:eastAsia="宋体" w:hAnsi="ˎ̥" w:cs="宋体" w:hint="eastAsia"/>
                            <w:color w:val="000000"/>
                            <w:kern w:val="0"/>
                            <w:szCs w:val="21"/>
                          </w:rPr>
                          <w:br w:type="page"/>
                        </w:r>
                        <w:r w:rsidRPr="00AA2634">
                          <w:rPr>
                            <w:rFonts w:ascii="宋体" w:eastAsia="宋体" w:hAnsi="宋体" w:cs="宋体" w:hint="eastAsia"/>
                            <w:color w:val="000000"/>
                            <w:kern w:val="0"/>
                            <w:sz w:val="19"/>
                            <w:szCs w:val="19"/>
                          </w:rPr>
                          <w:t>《中华人民共和国加入世界贸易组织议定书》附件2。</w:t>
                        </w:r>
                        <w:r w:rsidRPr="00AA2634">
                          <w:rPr>
                            <w:rFonts w:ascii="宋体" w:eastAsia="宋体" w:hAnsi="宋体" w:cs="宋体" w:hint="eastAsia"/>
                            <w:color w:val="000000"/>
                            <w:kern w:val="0"/>
                            <w:sz w:val="19"/>
                            <w:szCs w:val="19"/>
                          </w:rPr>
                          <w:br w:type="page"/>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办公厅关于印发国家发展和改革委员会主要职责内设机构和人员编制规定的通知》（国办发〔2008〕102号）第五条第（五）：“粮食、棉花、煤炭由国家发展和改革委员会会同商务部在进出口总量计划内进行分配并协调相关政策”。</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商务部、粮食局</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企业、地方人民政府</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2.粮食进口关税配额审批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6358"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《中华人民共和国对外贸易法》第二十条：“进出口货物配额、关税配额，由国务院对外贸易主管部门或者国务院其他有关部门在各自的职责范围内”。</w:t>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《中华人民共和国货物进出口管理条例》（国务院令第332号）第三十七条：“实行配额管理的限制出口货物，由国务院外经贸主管部门和国务院有关经济管理部门按照国务院规定的职责划分进行管理”。</w:t>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《农产品进口关税配额管理暂行办法》（商</w:t>
                        </w:r>
                        <w:r w:rsidRPr="00AA2634">
                          <w:rPr>
                            <w:rFonts w:ascii="宋体" w:eastAsia="宋体" w:hAnsi="宋体" w:cs="宋体" w:hint="eastAsia"/>
                            <w:color w:val="000000"/>
                            <w:kern w:val="0"/>
                            <w:sz w:val="19"/>
                            <w:szCs w:val="19"/>
                          </w:rPr>
                          <w:lastRenderedPageBreak/>
                          <w:t>务部、国家发展改革委令2003年第4号）第七条：“小麦、玉米、大米、棉花进口关税配额由国家发展和改革委员会会同商务部分配”。</w:t>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《中华人民共和国加入世界贸易组织议定书》附件2。</w:t>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办公厅关于印发国家发展和改革委员会主要职责内设机构和人员编制规定的通知》（国办发〔2008〕102号）第五条第（五）：“粮食、棉花、煤炭由国家发展和改革委员会会同商务部在进出口总量计划内进行分配并协调相关政策”。</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商务部</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企业、地方人民政府</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3.棉花进口关税配额审批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商务部</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4.煤炭出口配额审批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《中华人民共和国对外贸易法》第二十条：“进出口货物配额、关税配额，由国务院对外贸易主管部门或者国务院其他有关部门在各自的职责范围内，按照公开、公平、公正和效益的原则进行分配”。</w:t>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《中华人民共和国货物进出口管理条例》（国务院令第332号）第三十七条：“实行配额管理的限制出口货物，由国务院外经贸主管部门和国务院有关经济管理部门按照国务院规定的职责划分进行管理”。</w:t>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《煤炭出口配额管理办法》（国家发展和改革委员会、商务部、海关总署令第7号）第二条：“国家发展和改革委员</w:t>
                        </w:r>
                        <w:r w:rsidRPr="00AA2634">
                          <w:rPr>
                            <w:rFonts w:ascii="宋体" w:eastAsia="宋体" w:hAnsi="宋体" w:cs="宋体" w:hint="eastAsia"/>
                            <w:color w:val="000000"/>
                            <w:kern w:val="0"/>
                            <w:sz w:val="19"/>
                            <w:szCs w:val="19"/>
                          </w:rPr>
                          <w:lastRenderedPageBreak/>
                          <w:t>会会同商务部负责确定全国煤炭出口配额总量及分配工作”。</w:t>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《中华人民共和国加入世界贸易组织议定书》附件2。</w:t>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办公厅关于印发国家发展和改革委员会主要职责内设机构和人员编制规定的通知》（国办发〔2008〕102号）第五条第（五）：“粮食、棉花、煤炭由国家发展和改革委员会会同商务部在进出口总量计划内进行分配并协调相关政策”。</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商务部</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01010</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跨省发电、供电计划和省级发电、供电计划备案核准</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《电网调度管理条例》（国务院令第115号）第十二条：“跨省电网管理部门和省级电网管理部门应当编制发电、供电计划，并将发电、供电计划报送国务院电力行政主管部门备案”。</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各省电力主管部门，国家电网、南方电网公司</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01011</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固定资产投资项目节能评估和审查</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中华人民共和国节约能源法》（2007年）第十五条：国家实行固定资产投资项目节能评估和审查制度。不符合强制性节能标准的项目，依法负责项目审批和核准的机关不得批准或者核准建设；建设单位不得开工建设；已经建成的，不得投入生产、使用。具体办法由国务院管理节能工作的部门会同国务院有关部门制定。</w:t>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《国务院关于加强</w:t>
                        </w:r>
                        <w:r w:rsidRPr="00AA2634">
                          <w:rPr>
                            <w:rFonts w:ascii="宋体" w:eastAsia="宋体" w:hAnsi="宋体" w:cs="宋体" w:hint="eastAsia"/>
                            <w:color w:val="000000"/>
                            <w:kern w:val="0"/>
                            <w:sz w:val="19"/>
                            <w:szCs w:val="19"/>
                          </w:rPr>
                          <w:lastRenderedPageBreak/>
                          <w:t>节能工作的决定》（国发〔2006〕28号）第二十三条：建立固定资产投资项目节能评估和审查制度。有关部门和地方人民政府要对固定资产投资项目（含新建、改建、扩建项目）进行节能评估和审查。</w:t>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《固定资产投资项目节能评估和审查暂行办法》（2010年</w:t>
                        </w:r>
                        <w:proofErr w:type="gramStart"/>
                        <w:r w:rsidRPr="00AA2634">
                          <w:rPr>
                            <w:rFonts w:ascii="宋体" w:eastAsia="宋体" w:hAnsi="宋体" w:cs="宋体" w:hint="eastAsia"/>
                            <w:color w:val="000000"/>
                            <w:kern w:val="0"/>
                            <w:sz w:val="19"/>
                            <w:szCs w:val="19"/>
                          </w:rPr>
                          <w:t>国家发改委令</w:t>
                        </w:r>
                        <w:proofErr w:type="gramEnd"/>
                        <w:r w:rsidRPr="00AA2634">
                          <w:rPr>
                            <w:rFonts w:ascii="宋体" w:eastAsia="宋体" w:hAnsi="宋体" w:cs="宋体" w:hint="eastAsia"/>
                            <w:color w:val="000000"/>
                            <w:kern w:val="0"/>
                            <w:sz w:val="19"/>
                            <w:szCs w:val="19"/>
                          </w:rPr>
                          <w:t>第6号）第四条：固定资产投资项目节能评估文件及其审查意见、节能登记表及其登记备案意见，作为项目审批、核准或开工建设的前置性条件以及项目设计、施工和竣工验收的重要依据。第九条：固定资产投资项目节能审查按照项目管理权限实行分级管理。由国家发展改革委核报国务院审批或核准的项目以及国家发展改革委审批或核准的项目，其节能审查由国家发展改革委负责；由地方人民政府发展改革部门审批、核准、备案或核报本级人民政府审批、核准的项目，其节能审查由地方人民政府发展改革部门负责。</w:t>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《全国人大财政经济委员会办公室关于节能评估审查是否属于行政许可事项的复函》：根据行政许可法，上述规定符合设定行政许可的要求和条件。在实际工作中，</w:t>
                        </w:r>
                        <w:proofErr w:type="gramStart"/>
                        <w:r w:rsidRPr="00AA2634">
                          <w:rPr>
                            <w:rFonts w:ascii="宋体" w:eastAsia="宋体" w:hAnsi="宋体" w:cs="宋体" w:hint="eastAsia"/>
                            <w:color w:val="000000"/>
                            <w:kern w:val="0"/>
                            <w:sz w:val="19"/>
                            <w:szCs w:val="19"/>
                          </w:rPr>
                          <w:t>国家发改委</w:t>
                        </w:r>
                        <w:proofErr w:type="gramEnd"/>
                        <w:r w:rsidRPr="00AA2634">
                          <w:rPr>
                            <w:rFonts w:ascii="宋体" w:eastAsia="宋体" w:hAnsi="宋体" w:cs="宋体" w:hint="eastAsia"/>
                            <w:color w:val="000000"/>
                            <w:kern w:val="0"/>
                            <w:sz w:val="19"/>
                            <w:szCs w:val="19"/>
                          </w:rPr>
                          <w:t>为落实节能法的要求，将节能评估和审查作为项目审批、核</w:t>
                        </w:r>
                        <w:r w:rsidRPr="00AA2634">
                          <w:rPr>
                            <w:rFonts w:ascii="宋体" w:eastAsia="宋体" w:hAnsi="宋体" w:cs="宋体" w:hint="eastAsia"/>
                            <w:color w:val="000000"/>
                            <w:kern w:val="0"/>
                            <w:sz w:val="19"/>
                            <w:szCs w:val="19"/>
                          </w:rPr>
                          <w:lastRenderedPageBreak/>
                          <w:t>准和开工建设的强制性前置条件，节能评估和审查制度与环境评估等一样，已成为固定资产投资项目审批核准制度的重点环节。</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机关、事业单位、企业、社会团体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01012</w:t>
                        </w:r>
                      </w:p>
                    </w:tc>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企业、事业单位、社会团体等投资建设的固定资产投资项目核准</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1.核电站项目核准（核报国务院）</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6358"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《国务院对确需保留的行政审批项目设定行政许可的决定》（国务院令第412号）备注1：“鉴于投资体制改革正在进行，涉及固定资产投资项目的行政许可仍按国务院现行规定办理”。</w:t>
                        </w:r>
                        <w:r w:rsidRPr="00AA2634">
                          <w:rPr>
                            <w:rFonts w:ascii="宋体" w:eastAsia="宋体" w:hAnsi="宋体" w:cs="宋体" w:hint="eastAsia"/>
                            <w:color w:val="000000"/>
                            <w:kern w:val="0"/>
                            <w:sz w:val="19"/>
                            <w:szCs w:val="19"/>
                          </w:rPr>
                          <w:br w:type="page"/>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关于投资体制改革的决定》（国发〔2004〕20号）第二部分第（一）、（二）：对于企业不使用政府投资建设的项目，一律不再实行审批制。其中，政府仅对重大项目和限制类项目从维护社会公共利益角度进行核准。</w:t>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ˎ̥" w:eastAsia="宋体" w:hAnsi="ˎ̥" w:cs="宋体" w:hint="eastAsia"/>
                            <w:color w:val="000000"/>
                            <w:kern w:val="0"/>
                            <w:szCs w:val="21"/>
                          </w:rPr>
                          <w:br w:type="page"/>
                        </w:r>
                        <w:r w:rsidRPr="00AA2634">
                          <w:rPr>
                            <w:rFonts w:ascii="宋体" w:eastAsia="宋体" w:hAnsi="宋体" w:cs="宋体" w:hint="eastAsia"/>
                            <w:color w:val="000000"/>
                            <w:kern w:val="0"/>
                            <w:sz w:val="19"/>
                            <w:szCs w:val="19"/>
                          </w:rPr>
                          <w:t>国务院关于发布政府核准的投资项目目录（2013年本）的通知（国发〔2013〕47号）</w:t>
                        </w:r>
                        <w:r w:rsidRPr="00AA2634">
                          <w:rPr>
                            <w:rFonts w:ascii="宋体" w:eastAsia="宋体" w:hAnsi="宋体" w:cs="宋体" w:hint="eastAsia"/>
                            <w:color w:val="000000"/>
                            <w:kern w:val="0"/>
                            <w:sz w:val="19"/>
                            <w:szCs w:val="19"/>
                          </w:rPr>
                          <w:br w:type="page"/>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办公厅关于印发国家发展和改革委员会主要职责内设机构和人员编制规定的通知》（国办发〔2008〕102号）第二条（五）：按国务院规定权限审批、核准、审核重大建设项目、重大外资项目、境外资源开发类重大投资项目和大额用汇投资项目。</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2.民航新建机场项目核准（核报国务院）</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3.建设特大型主题公园项目核准（核报国务院）</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4.在跨界河流、跨省（区、市）河流上建设的水库项目核准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5.涉及跨界河流、跨省（区、市）水</w:t>
                        </w:r>
                        <w:r w:rsidRPr="00AA2634">
                          <w:rPr>
                            <w:rFonts w:ascii="宋体" w:eastAsia="宋体" w:hAnsi="宋体" w:cs="宋体" w:hint="eastAsia"/>
                            <w:color w:val="000000"/>
                            <w:kern w:val="0"/>
                            <w:sz w:val="19"/>
                            <w:szCs w:val="19"/>
                          </w:rPr>
                          <w:lastRenderedPageBreak/>
                          <w:t>资源配置调整的其他水事工程项目核准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w:t>
                        </w:r>
                        <w:r w:rsidRPr="00AA2634">
                          <w:rPr>
                            <w:rFonts w:ascii="宋体" w:eastAsia="宋体" w:hAnsi="宋体" w:cs="宋体" w:hint="eastAsia"/>
                            <w:color w:val="000000"/>
                            <w:kern w:val="0"/>
                            <w:sz w:val="19"/>
                            <w:szCs w:val="19"/>
                          </w:rPr>
                          <w:lastRenderedPageBreak/>
                          <w:t>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lastRenderedPageBreak/>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6.在主要河流上建设的水电站项目核准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7.火电站（不含分布式燃气发电）项目核准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8.燃煤热电站（不含</w:t>
                        </w:r>
                        <w:proofErr w:type="gramStart"/>
                        <w:r w:rsidRPr="00AA2634">
                          <w:rPr>
                            <w:rFonts w:ascii="宋体" w:eastAsia="宋体" w:hAnsi="宋体" w:cs="宋体" w:hint="eastAsia"/>
                            <w:color w:val="000000"/>
                            <w:kern w:val="0"/>
                            <w:sz w:val="19"/>
                            <w:szCs w:val="19"/>
                          </w:rPr>
                          <w:t>燃煤背压热电</w:t>
                        </w:r>
                        <w:proofErr w:type="gramEnd"/>
                        <w:r w:rsidRPr="00AA2634">
                          <w:rPr>
                            <w:rFonts w:ascii="宋体" w:eastAsia="宋体" w:hAnsi="宋体" w:cs="宋体" w:hint="eastAsia"/>
                            <w:color w:val="000000"/>
                            <w:kern w:val="0"/>
                            <w:sz w:val="19"/>
                            <w:szCs w:val="19"/>
                          </w:rPr>
                          <w:t>）项目核准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9.跨境、跨省（区、市）+-400千伏及以上直流电网工程项目和跨境、跨省（区、市）500千伏、750千</w:t>
                        </w:r>
                        <w:r w:rsidRPr="00AA2634">
                          <w:rPr>
                            <w:rFonts w:ascii="宋体" w:eastAsia="宋体" w:hAnsi="宋体" w:cs="宋体" w:hint="eastAsia"/>
                            <w:color w:val="000000"/>
                            <w:kern w:val="0"/>
                            <w:sz w:val="19"/>
                            <w:szCs w:val="19"/>
                          </w:rPr>
                          <w:lastRenderedPageBreak/>
                          <w:t>伏、1000千伏交流电网工程项目核准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10.年产超过20亿立方米的煤制天然气项目和年产超过100万吨的煤制</w:t>
                        </w:r>
                        <w:proofErr w:type="gramStart"/>
                        <w:r w:rsidRPr="00AA2634">
                          <w:rPr>
                            <w:rFonts w:ascii="宋体" w:eastAsia="宋体" w:hAnsi="宋体" w:cs="宋体" w:hint="eastAsia"/>
                            <w:color w:val="000000"/>
                            <w:kern w:val="0"/>
                            <w:sz w:val="19"/>
                            <w:szCs w:val="19"/>
                          </w:rPr>
                          <w:t>油项目</w:t>
                        </w:r>
                        <w:proofErr w:type="gramEnd"/>
                        <w:r w:rsidRPr="00AA2634">
                          <w:rPr>
                            <w:rFonts w:ascii="宋体" w:eastAsia="宋体" w:hAnsi="宋体" w:cs="宋体" w:hint="eastAsia"/>
                            <w:color w:val="000000"/>
                            <w:kern w:val="0"/>
                            <w:sz w:val="19"/>
                            <w:szCs w:val="19"/>
                          </w:rPr>
                          <w:t>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11.跨境、跨省（区、市）干线输油管网（不含油田集输管网）项目核准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12.跨境、跨省（区、市）干线输气管网（不含油气田集输管网）项目核准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13.新建炼油</w:t>
                        </w:r>
                        <w:r w:rsidRPr="00AA2634">
                          <w:rPr>
                            <w:rFonts w:ascii="宋体" w:eastAsia="宋体" w:hAnsi="宋体" w:cs="宋体" w:hint="eastAsia"/>
                            <w:color w:val="000000"/>
                            <w:kern w:val="0"/>
                            <w:sz w:val="19"/>
                            <w:szCs w:val="19"/>
                          </w:rPr>
                          <w:lastRenderedPageBreak/>
                          <w:t>及扩建一次炼油项目核准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行政</w:t>
                        </w:r>
                        <w:r w:rsidRPr="00AA2634">
                          <w:rPr>
                            <w:rFonts w:ascii="宋体" w:eastAsia="宋体" w:hAnsi="宋体" w:cs="宋体" w:hint="eastAsia"/>
                            <w:color w:val="000000"/>
                            <w:kern w:val="0"/>
                            <w:sz w:val="19"/>
                            <w:szCs w:val="19"/>
                          </w:rPr>
                          <w:br/>
                        </w:r>
                        <w:r w:rsidRPr="00AA2634">
                          <w:rPr>
                            <w:rFonts w:ascii="宋体" w:eastAsia="宋体" w:hAnsi="宋体" w:cs="宋体" w:hint="eastAsia"/>
                            <w:color w:val="000000"/>
                            <w:kern w:val="0"/>
                            <w:sz w:val="19"/>
                            <w:szCs w:val="19"/>
                          </w:rPr>
                          <w:lastRenderedPageBreak/>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w:t>
                        </w:r>
                        <w:r w:rsidRPr="00AA2634">
                          <w:rPr>
                            <w:rFonts w:ascii="宋体" w:eastAsia="宋体" w:hAnsi="宋体" w:cs="宋体" w:hint="eastAsia"/>
                            <w:color w:val="000000"/>
                            <w:kern w:val="0"/>
                            <w:sz w:val="19"/>
                            <w:szCs w:val="19"/>
                          </w:rPr>
                          <w:lastRenderedPageBreak/>
                          <w:t>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lastRenderedPageBreak/>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14.新建（含增建）跨省（区、市）铁路项目和国家铁路网中的干线项目核准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15.国家高速公路网项目核准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16.跨境、</w:t>
                        </w:r>
                        <w:proofErr w:type="gramStart"/>
                        <w:r w:rsidRPr="00AA2634">
                          <w:rPr>
                            <w:rFonts w:ascii="宋体" w:eastAsia="宋体" w:hAnsi="宋体" w:cs="宋体" w:hint="eastAsia"/>
                            <w:color w:val="000000"/>
                            <w:kern w:val="0"/>
                            <w:sz w:val="19"/>
                            <w:szCs w:val="19"/>
                          </w:rPr>
                          <w:t>跨重要</w:t>
                        </w:r>
                        <w:proofErr w:type="gramEnd"/>
                        <w:r w:rsidRPr="00AA2634">
                          <w:rPr>
                            <w:rFonts w:ascii="宋体" w:eastAsia="宋体" w:hAnsi="宋体" w:cs="宋体" w:hint="eastAsia"/>
                            <w:color w:val="000000"/>
                            <w:kern w:val="0"/>
                            <w:sz w:val="19"/>
                            <w:szCs w:val="19"/>
                          </w:rPr>
                          <w:t>海湾、跨大江大河（三级及以上通航段）的独立公路桥梁、隧道项目核准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17.在沿海（含长江南京</w:t>
                        </w:r>
                        <w:r w:rsidRPr="00AA2634">
                          <w:rPr>
                            <w:rFonts w:ascii="宋体" w:eastAsia="宋体" w:hAnsi="宋体" w:cs="宋体" w:hint="eastAsia"/>
                            <w:color w:val="000000"/>
                            <w:kern w:val="0"/>
                            <w:sz w:val="19"/>
                            <w:szCs w:val="19"/>
                          </w:rPr>
                          <w:lastRenderedPageBreak/>
                          <w:t>及以下）新建港区和年吞吐能力1000万吨及以上煤炭、矿石、油气专用泊位项目核准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w:t>
                        </w:r>
                        <w:r w:rsidRPr="00AA2634">
                          <w:rPr>
                            <w:rFonts w:ascii="宋体" w:eastAsia="宋体" w:hAnsi="宋体" w:cs="宋体" w:hint="eastAsia"/>
                            <w:color w:val="000000"/>
                            <w:kern w:val="0"/>
                            <w:sz w:val="19"/>
                            <w:szCs w:val="19"/>
                          </w:rPr>
                          <w:lastRenderedPageBreak/>
                          <w:t>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lastRenderedPageBreak/>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18.在沿海（含长江南京及以下）建设的集装箱专用码头项目核准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19.千吨级及以上内河航运通航建筑物项目核准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20.扩建军民合用机场项目（会商军队有关部门）核准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21.国际通信</w:t>
                        </w:r>
                        <w:r w:rsidRPr="00AA2634">
                          <w:rPr>
                            <w:rFonts w:ascii="宋体" w:eastAsia="宋体" w:hAnsi="宋体" w:cs="宋体" w:hint="eastAsia"/>
                            <w:color w:val="000000"/>
                            <w:kern w:val="0"/>
                            <w:sz w:val="19"/>
                            <w:szCs w:val="19"/>
                          </w:rPr>
                          <w:lastRenderedPageBreak/>
                          <w:t>基础设施项目核准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行政</w:t>
                        </w:r>
                        <w:r w:rsidRPr="00AA2634">
                          <w:rPr>
                            <w:rFonts w:ascii="宋体" w:eastAsia="宋体" w:hAnsi="宋体" w:cs="宋体" w:hint="eastAsia"/>
                            <w:color w:val="000000"/>
                            <w:kern w:val="0"/>
                            <w:sz w:val="19"/>
                            <w:szCs w:val="19"/>
                          </w:rPr>
                          <w:br/>
                        </w:r>
                        <w:r w:rsidRPr="00AA2634">
                          <w:rPr>
                            <w:rFonts w:ascii="宋体" w:eastAsia="宋体" w:hAnsi="宋体" w:cs="宋体" w:hint="eastAsia"/>
                            <w:color w:val="000000"/>
                            <w:kern w:val="0"/>
                            <w:sz w:val="19"/>
                            <w:szCs w:val="19"/>
                          </w:rPr>
                          <w:lastRenderedPageBreak/>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w:t>
                        </w:r>
                        <w:r w:rsidRPr="00AA2634">
                          <w:rPr>
                            <w:rFonts w:ascii="宋体" w:eastAsia="宋体" w:hAnsi="宋体" w:cs="宋体" w:hint="eastAsia"/>
                            <w:color w:val="000000"/>
                            <w:kern w:val="0"/>
                            <w:sz w:val="19"/>
                            <w:szCs w:val="19"/>
                          </w:rPr>
                          <w:lastRenderedPageBreak/>
                          <w:t>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lastRenderedPageBreak/>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22.已查明资源储量5000万吨及以上规模的铁矿开发项目核准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23.新增生产能力的炼铁、炼钢、热轧项目核准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24.新增生产能力的电解铝项目和新建氧化铝项目核准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25.新建乙烯项目核准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26.年产超过50万吨的煤经甲醇制烯烃项</w:t>
                        </w:r>
                        <w:r w:rsidRPr="00AA2634">
                          <w:rPr>
                            <w:rFonts w:ascii="宋体" w:eastAsia="宋体" w:hAnsi="宋体" w:cs="宋体" w:hint="eastAsia"/>
                            <w:color w:val="000000"/>
                            <w:kern w:val="0"/>
                            <w:sz w:val="19"/>
                            <w:szCs w:val="19"/>
                          </w:rPr>
                          <w:lastRenderedPageBreak/>
                          <w:t>目、年产超过100万吨的煤制甲醇项目、新建对二甲苯（PX）项目核准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w:t>
                        </w:r>
                        <w:r w:rsidRPr="00AA2634">
                          <w:rPr>
                            <w:rFonts w:ascii="宋体" w:eastAsia="宋体" w:hAnsi="宋体" w:cs="宋体" w:hint="eastAsia"/>
                            <w:color w:val="000000"/>
                            <w:kern w:val="0"/>
                            <w:sz w:val="19"/>
                            <w:szCs w:val="19"/>
                          </w:rPr>
                          <w:lastRenderedPageBreak/>
                          <w:t>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lastRenderedPageBreak/>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27.汽车项目核准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28.新建10万吨级及以上造船设施（船台、船坞）项目核准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29.民用飞机（含直升机）制造、民用卫星制造、民用遥感卫星地面接收站建设项目核准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30.跨</w:t>
                        </w:r>
                        <w:r w:rsidRPr="00AA2634">
                          <w:rPr>
                            <w:rFonts w:ascii="宋体" w:eastAsia="宋体" w:hAnsi="宋体" w:cs="宋体" w:hint="eastAsia"/>
                            <w:color w:val="000000"/>
                            <w:kern w:val="0"/>
                            <w:sz w:val="19"/>
                            <w:szCs w:val="19"/>
                          </w:rPr>
                          <w:lastRenderedPageBreak/>
                          <w:t>省（区、市）日调水50万吨及以上城市供水项目核准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行</w:t>
                        </w:r>
                        <w:r w:rsidRPr="00AA2634">
                          <w:rPr>
                            <w:rFonts w:ascii="宋体" w:eastAsia="宋体" w:hAnsi="宋体" w:cs="宋体" w:hint="eastAsia"/>
                            <w:color w:val="000000"/>
                            <w:kern w:val="0"/>
                            <w:sz w:val="19"/>
                            <w:szCs w:val="19"/>
                          </w:rPr>
                          <w:lastRenderedPageBreak/>
                          <w:t>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w:t>
                        </w:r>
                        <w:r w:rsidRPr="00AA2634">
                          <w:rPr>
                            <w:rFonts w:ascii="宋体" w:eastAsia="宋体" w:hAnsi="宋体" w:cs="宋体" w:hint="eastAsia"/>
                            <w:color w:val="000000"/>
                            <w:kern w:val="0"/>
                            <w:sz w:val="19"/>
                            <w:szCs w:val="19"/>
                          </w:rPr>
                          <w:lastRenderedPageBreak/>
                          <w:t>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lastRenderedPageBreak/>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31.</w:t>
                        </w:r>
                        <w:proofErr w:type="gramStart"/>
                        <w:r w:rsidRPr="00AA2634">
                          <w:rPr>
                            <w:rFonts w:ascii="宋体" w:eastAsia="宋体" w:hAnsi="宋体" w:cs="宋体" w:hint="eastAsia"/>
                            <w:color w:val="000000"/>
                            <w:kern w:val="0"/>
                            <w:sz w:val="19"/>
                            <w:szCs w:val="19"/>
                          </w:rPr>
                          <w:t>跨重要</w:t>
                        </w:r>
                        <w:proofErr w:type="gramEnd"/>
                        <w:r w:rsidRPr="00AA2634">
                          <w:rPr>
                            <w:rFonts w:ascii="宋体" w:eastAsia="宋体" w:hAnsi="宋体" w:cs="宋体" w:hint="eastAsia"/>
                            <w:color w:val="000000"/>
                            <w:kern w:val="0"/>
                            <w:sz w:val="19"/>
                            <w:szCs w:val="19"/>
                          </w:rPr>
                          <w:t>海湾、跨大江大河（三级及以上通航段）的城市道路桥梁、隧道项目核准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32.建设大型主题公园项目核准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33.《外商投资产业指导目录》中有中方控股（</w:t>
                        </w:r>
                        <w:proofErr w:type="gramStart"/>
                        <w:r w:rsidRPr="00AA2634">
                          <w:rPr>
                            <w:rFonts w:ascii="宋体" w:eastAsia="宋体" w:hAnsi="宋体" w:cs="宋体" w:hint="eastAsia"/>
                            <w:color w:val="000000"/>
                            <w:kern w:val="0"/>
                            <w:sz w:val="19"/>
                            <w:szCs w:val="19"/>
                          </w:rPr>
                          <w:t>含相对</w:t>
                        </w:r>
                        <w:proofErr w:type="gramEnd"/>
                        <w:r w:rsidRPr="00AA2634">
                          <w:rPr>
                            <w:rFonts w:ascii="宋体" w:eastAsia="宋体" w:hAnsi="宋体" w:cs="宋体" w:hint="eastAsia"/>
                            <w:color w:val="000000"/>
                            <w:kern w:val="0"/>
                            <w:sz w:val="19"/>
                            <w:szCs w:val="19"/>
                          </w:rPr>
                          <w:t>控股）要求的总投资（含增资）3亿美元及</w:t>
                        </w:r>
                        <w:r w:rsidRPr="00AA2634">
                          <w:rPr>
                            <w:rFonts w:ascii="宋体" w:eastAsia="宋体" w:hAnsi="宋体" w:cs="宋体" w:hint="eastAsia"/>
                            <w:color w:val="000000"/>
                            <w:kern w:val="0"/>
                            <w:sz w:val="19"/>
                            <w:szCs w:val="19"/>
                          </w:rPr>
                          <w:lastRenderedPageBreak/>
                          <w:t>以上鼓励类外商投资项目、总投资（含增资）5000万美元及以上限制类（不含房地产）外商投资项目，以及其他属于第1至32项所列的外商投资项目核准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34.中方投资10亿美元及以上以及涉及敏感国家和地区、敏感行业的企业境外投资项目核准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35.除中方投资10亿美元及以上以</w:t>
                        </w:r>
                        <w:r w:rsidRPr="00AA2634">
                          <w:rPr>
                            <w:rFonts w:ascii="宋体" w:eastAsia="宋体" w:hAnsi="宋体" w:cs="宋体" w:hint="eastAsia"/>
                            <w:color w:val="000000"/>
                            <w:kern w:val="0"/>
                            <w:sz w:val="19"/>
                            <w:szCs w:val="19"/>
                          </w:rPr>
                          <w:lastRenderedPageBreak/>
                          <w:t>及涉及敏感国家和地区、敏感行业的企业境外投资项目外，中央管理企业境外投资项目和地方企业投资3亿美元及以上境外投资项目备案核准</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行政</w:t>
                        </w:r>
                        <w:r w:rsidRPr="00AA2634">
                          <w:rPr>
                            <w:rFonts w:ascii="宋体" w:eastAsia="宋体" w:hAnsi="宋体" w:cs="宋体" w:hint="eastAsia"/>
                            <w:color w:val="000000"/>
                            <w:kern w:val="0"/>
                            <w:sz w:val="19"/>
                            <w:szCs w:val="19"/>
                          </w:rPr>
                          <w:br/>
                          <w:t>许可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企业、事业单位、</w:t>
                        </w:r>
                        <w:r w:rsidRPr="00AA2634">
                          <w:rPr>
                            <w:rFonts w:ascii="宋体" w:eastAsia="宋体" w:hAnsi="宋体" w:cs="宋体" w:hint="eastAsia"/>
                            <w:color w:val="000000"/>
                            <w:kern w:val="0"/>
                            <w:sz w:val="19"/>
                            <w:szCs w:val="19"/>
                          </w:rPr>
                          <w:lastRenderedPageBreak/>
                          <w:t>社会团体</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lastRenderedPageBreak/>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01013</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政府出资的投资项目审批</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国务院办公厅关于保留部分非行政许可审批项目的通知》（国办发〔2004〕62号）第7项：“政府出资的投资项目审批”，实施机关：国务院发展改革委，国务院有关部门，省级以下人民政府发展改革部门和有关部门。</w:t>
                        </w:r>
                        <w:r w:rsidRPr="00AA2634">
                          <w:rPr>
                            <w:rFonts w:ascii="宋体" w:eastAsia="宋体" w:hAnsi="宋体" w:cs="宋体" w:hint="eastAsia"/>
                            <w:color w:val="000000"/>
                            <w:kern w:val="0"/>
                            <w:sz w:val="19"/>
                            <w:szCs w:val="19"/>
                          </w:rPr>
                          <w:br w:type="page"/>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关于投资体制改革的决定》（国发〔2004〕20号）第三部分第（四）：“对于政府投资项目，采用直接投资和资本金注入方式的，从投资决策角度只审批项目建议书和可行性研究报告，除特殊情况外不再审批开工报告，同时应严格政府投资项目的初步设计、概算审批工作”。</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机关、事业单位、企业和社团组织</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01014</w:t>
                        </w:r>
                      </w:p>
                    </w:tc>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借用各类国外贷款总规模及使用方向、限额以上国外贷款项目及利用外资方案审批（不含外商投资项目总投资与注册资本之间差额以内的对外借款）和限额以下国外贷款项目外债规模安排</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1.国际金融组织贷款规划编制和项目资金申请报告审批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国务院关于投资体制改革的决定》（国发〔2004〕20号）三（三）规范政府投资资金管理。编制政府投资的中长期规划和年度计划，统筹安排、合理使用各类政府投资资金，包括预算内投资、各类专项建设基金、统借国外贷款等。政府投资资金按项目安排，根据资金来源、项目性质和调控需要，可分别采取直接投资、资本金注入、投资补助、转贷和贷款贴息等方式。以资本金注入方式投入的，要确定出资人代表。要针对不同的资金类型和资金运用方式，确定相应的管理办法，逐步实现政府投资的决策程序和资金管理的科学化、制度化和规范化。</w:t>
                        </w:r>
                        <w:r w:rsidRPr="00AA2634">
                          <w:rPr>
                            <w:rFonts w:ascii="宋体" w:eastAsia="宋体" w:hAnsi="宋体" w:cs="宋体" w:hint="eastAsia"/>
                            <w:color w:val="000000"/>
                            <w:kern w:val="0"/>
                            <w:sz w:val="19"/>
                            <w:szCs w:val="19"/>
                          </w:rPr>
                          <w:br w:type="page"/>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《国务院办公厅关于保留部分非行政许可审批项目的通知》（国办发〔2004〕62号）第8项 项目名称：借用各类国外贷款总规模及使用方向、限额以上国外贷款项目及利用外资方案审批（不含外商投资项目总投资与注册资本之间差额以内的对外借款）和限额以下国外贷款项目外债规模安排；实施机关：国家发展改革委。</w:t>
                        </w:r>
                        <w:r w:rsidRPr="00AA2634">
                          <w:rPr>
                            <w:rFonts w:ascii="宋体" w:eastAsia="宋体" w:hAnsi="宋体" w:cs="宋体" w:hint="eastAsia"/>
                            <w:color w:val="000000"/>
                            <w:kern w:val="0"/>
                            <w:sz w:val="19"/>
                            <w:szCs w:val="19"/>
                          </w:rPr>
                          <w:br w:type="page"/>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《国际金融组织和外国政府贷款投资项目管理暂行办法》（国家发展改革委28号令）第六条：国务院发展改革部门按照国民经济和社会发展规划、产业政策、外债</w:t>
                        </w:r>
                        <w:r w:rsidRPr="00AA2634">
                          <w:rPr>
                            <w:rFonts w:ascii="宋体" w:eastAsia="宋体" w:hAnsi="宋体" w:cs="宋体" w:hint="eastAsia"/>
                            <w:color w:val="000000"/>
                            <w:kern w:val="0"/>
                            <w:sz w:val="19"/>
                            <w:szCs w:val="19"/>
                          </w:rPr>
                          <w:lastRenderedPageBreak/>
                          <w:t>管理及国外贷款使用原则和要求，编制国外贷款备选项目规划。第十三条：项目纳入国外贷款备选项目规划并完成审批、核准或备案手续后，项目用款单位须向所在地省级发展改革部门提出项目资金申请报告。项目资金申请报告由省级发展改革部门初审后，报国务院发展改革部门审批。</w:t>
                        </w:r>
                        <w:r w:rsidRPr="00AA2634">
                          <w:rPr>
                            <w:rFonts w:ascii="宋体" w:eastAsia="宋体" w:hAnsi="宋体" w:cs="宋体" w:hint="eastAsia"/>
                            <w:color w:val="000000"/>
                            <w:kern w:val="0"/>
                            <w:sz w:val="19"/>
                            <w:szCs w:val="19"/>
                          </w:rPr>
                          <w:br w:type="page"/>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家发展改革委关于进一步加强国际金融组织贷款项目管理的通知（发改外资〔2008〕1269号）》、《国家发展改革委办公厅关于印发国际金融组织贷款项目资金申请报告编制大纲和项目资金申请报告报批文件提纲的通知》（发改办外资〔2008〕1770号）、国务院批准的相关国际金融组织贷款规划。</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国际金融组织贷款备选项目规划</w:t>
                        </w:r>
                        <w:proofErr w:type="gramStart"/>
                        <w:r w:rsidRPr="00AA2634">
                          <w:rPr>
                            <w:rFonts w:ascii="宋体" w:eastAsia="宋体" w:hAnsi="宋体" w:cs="宋体" w:hint="eastAsia"/>
                            <w:color w:val="000000"/>
                            <w:kern w:val="0"/>
                            <w:sz w:val="19"/>
                            <w:szCs w:val="19"/>
                          </w:rPr>
                          <w:t>编制商</w:t>
                        </w:r>
                        <w:proofErr w:type="gramEnd"/>
                        <w:r w:rsidRPr="00AA2634">
                          <w:rPr>
                            <w:rFonts w:ascii="宋体" w:eastAsia="宋体" w:hAnsi="宋体" w:cs="宋体" w:hint="eastAsia"/>
                            <w:color w:val="000000"/>
                            <w:kern w:val="0"/>
                            <w:sz w:val="19"/>
                            <w:szCs w:val="19"/>
                          </w:rPr>
                          <w:t>财政部，世界银行、亚洲开发银行贷款备选项目规划与财政部联合上报国务院审批。资金申请报告由国家</w:t>
                        </w:r>
                        <w:proofErr w:type="gramStart"/>
                        <w:r w:rsidRPr="00AA2634">
                          <w:rPr>
                            <w:rFonts w:ascii="宋体" w:eastAsia="宋体" w:hAnsi="宋体" w:cs="宋体" w:hint="eastAsia"/>
                            <w:color w:val="000000"/>
                            <w:kern w:val="0"/>
                            <w:sz w:val="19"/>
                            <w:szCs w:val="19"/>
                          </w:rPr>
                          <w:t>发改委独立</w:t>
                        </w:r>
                        <w:proofErr w:type="gramEnd"/>
                        <w:r w:rsidRPr="00AA2634">
                          <w:rPr>
                            <w:rFonts w:ascii="宋体" w:eastAsia="宋体" w:hAnsi="宋体" w:cs="宋体" w:hint="eastAsia"/>
                            <w:color w:val="000000"/>
                            <w:kern w:val="0"/>
                            <w:sz w:val="19"/>
                            <w:szCs w:val="19"/>
                          </w:rPr>
                          <w:t>审批</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机关、事业单位、企业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2.外国政府贷款项目规划安排、资金申请报告的审批和复核确认</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国务院关于投资体制改革的决定》（国发〔2004〕20号）：三（三）规范政府投资资金管理。编制政府投资的中长期规划和年度计划，统筹安排、合理使用各类政府投资资金，包括预算内投资、各类专项建设基金、统借国外贷款等。政府投资资金按项目安排，根据资金来源、项目性质和调控需要，可分别采取直接投资、资本金注入、投资补助、转贷和贷款贴息等方式。以资本金注入方式投入的，要确定出资人代表。要针对不同的资金类</w:t>
                        </w:r>
                        <w:r w:rsidRPr="00AA2634">
                          <w:rPr>
                            <w:rFonts w:ascii="宋体" w:eastAsia="宋体" w:hAnsi="宋体" w:cs="宋体" w:hint="eastAsia"/>
                            <w:color w:val="000000"/>
                            <w:kern w:val="0"/>
                            <w:sz w:val="19"/>
                            <w:szCs w:val="19"/>
                          </w:rPr>
                          <w:lastRenderedPageBreak/>
                          <w:t>型和资金运用方式，确定相应的管理办法，逐步实现政府投资的决策程序和资金管理的科学化、制度化和规范化。三（四）简化和规范政府投资项目审批程序，合理划分审批权限。按照项目性质、资金来源和事权划分，合理确定中央政府与地方政府之间、国务院投资主管部门与有关部门之间的项目审批权限。对于政府投资项目，采用直接投资和资本金注入方式的，从投资决策角度只审批项目建议书和可行性研究报告，除特殊情况</w:t>
                        </w:r>
                        <w:proofErr w:type="gramStart"/>
                        <w:r w:rsidRPr="00AA2634">
                          <w:rPr>
                            <w:rFonts w:ascii="宋体" w:eastAsia="宋体" w:hAnsi="宋体" w:cs="宋体" w:hint="eastAsia"/>
                            <w:color w:val="000000"/>
                            <w:kern w:val="0"/>
                            <w:sz w:val="19"/>
                            <w:szCs w:val="19"/>
                          </w:rPr>
                          <w:t>外不再</w:t>
                        </w:r>
                        <w:proofErr w:type="gramEnd"/>
                        <w:r w:rsidRPr="00AA2634">
                          <w:rPr>
                            <w:rFonts w:ascii="宋体" w:eastAsia="宋体" w:hAnsi="宋体" w:cs="宋体" w:hint="eastAsia"/>
                            <w:color w:val="000000"/>
                            <w:kern w:val="0"/>
                            <w:sz w:val="19"/>
                            <w:szCs w:val="19"/>
                          </w:rPr>
                          <w:t>审批开工报告，同时应严格政府投资项目的初步设计、概算审批工作；采用投资补助、转贷和贷款贴息方式的，只审批资金申请报告。具体的权限划分和审批程序由国务院投资主管部门会同有关方面研究制定，报国务院批准后颁布实施。</w:t>
                        </w:r>
                        <w:r w:rsidRPr="00AA2634">
                          <w:rPr>
                            <w:rFonts w:ascii="宋体" w:eastAsia="宋体" w:hAnsi="宋体" w:cs="宋体" w:hint="eastAsia"/>
                            <w:color w:val="000000"/>
                            <w:kern w:val="0"/>
                            <w:sz w:val="19"/>
                            <w:szCs w:val="19"/>
                          </w:rPr>
                          <w:br w:type="page"/>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《国务院办公厅关于保留部分非行政许可审批项目的通知》（国办发〔2004〕62号）：《保留的非行政许可审批项目目录》第8项 项目名称：借用各类国外贷款总规模及使用方向、限额以上国外贷款项目及利用外资方案审批（不含外商投资项目总投资与注册资本之间差额以内的对外借款）和限额以下国外贷款项目外债规模安排；实施机关：国家发展改革委。</w:t>
                        </w:r>
                        <w:r w:rsidRPr="00AA2634">
                          <w:rPr>
                            <w:rFonts w:ascii="宋体" w:eastAsia="宋体" w:hAnsi="宋体" w:cs="宋体" w:hint="eastAsia"/>
                            <w:color w:val="000000"/>
                            <w:kern w:val="0"/>
                            <w:sz w:val="19"/>
                            <w:szCs w:val="19"/>
                          </w:rPr>
                          <w:br w:type="page"/>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国际金融组织和外国政府贷款投资项目管理暂行办法》（国家发展改革委令第28号）第六条：国务院发展改革部门按照国民经济和社会发展规划、产业政策、外债管理及国外贷款使用原则和要求，编制国外贷款备选项目规划。第十三条：项目纳入国外贷款备选项目规划并完成审批、核准或备案手续后，项目用款单位须向所在地省级发展改革部门提出项目资金申请报告。项目资金申请报告由省级发展改革部门初审后，报国务院发展改革部门审批。</w:t>
                        </w:r>
                        <w:r w:rsidRPr="00AA2634">
                          <w:rPr>
                            <w:rFonts w:ascii="宋体" w:eastAsia="宋体" w:hAnsi="宋体" w:cs="宋体" w:hint="eastAsia"/>
                            <w:color w:val="000000"/>
                            <w:kern w:val="0"/>
                            <w:sz w:val="19"/>
                            <w:szCs w:val="19"/>
                          </w:rPr>
                          <w:br w:type="page"/>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批转财政部、国家计委关于进一步加强外国政府贷款管理若干意见的通知》（国发〔2000〕15号）：二（一）国家计委要加强对外国政府贷款的总量控制、结构优化和监测工作，会商有关部门提出利用外国政府贷款的中长期规划和年度借用外国政府贷款的总规模，编制利用外国政府贷款备选项目规划；制定外国政府贷款的区域投资政策及产业投资方向；按照国家基本建设程序和有关规定做好项目建议书及可行性研究报告的评估和审批工作。</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机关、事业单位、企业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3.中长期国际商业贷款外债</w:t>
                        </w:r>
                        <w:r w:rsidRPr="00AA2634">
                          <w:rPr>
                            <w:rFonts w:ascii="宋体" w:eastAsia="宋体" w:hAnsi="宋体" w:cs="宋体" w:hint="eastAsia"/>
                            <w:color w:val="000000"/>
                            <w:kern w:val="0"/>
                            <w:sz w:val="19"/>
                            <w:szCs w:val="19"/>
                          </w:rPr>
                          <w:lastRenderedPageBreak/>
                          <w:t>规模审批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非行政许</w:t>
                        </w:r>
                        <w:r w:rsidRPr="00AA2634">
                          <w:rPr>
                            <w:rFonts w:ascii="宋体" w:eastAsia="宋体" w:hAnsi="宋体" w:cs="宋体" w:hint="eastAsia"/>
                            <w:color w:val="000000"/>
                            <w:kern w:val="0"/>
                            <w:sz w:val="19"/>
                            <w:szCs w:val="19"/>
                          </w:rPr>
                          <w:lastRenderedPageBreak/>
                          <w:t>可审批</w:t>
                        </w:r>
                      </w:p>
                    </w:tc>
                    <w:tc>
                      <w:tcPr>
                        <w:tcW w:w="6358" w:type="dxa"/>
                        <w:tcBorders>
                          <w:top w:val="single" w:sz="4" w:space="0" w:color="auto"/>
                          <w:left w:val="single" w:sz="4" w:space="0" w:color="auto"/>
                          <w:bottom w:val="single" w:sz="4" w:space="0" w:color="auto"/>
                          <w:right w:val="single" w:sz="4" w:space="0" w:color="auto"/>
                        </w:tcBorders>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lastRenderedPageBreak/>
                          <w:t>《国务院关于进一步加强借用国际商业贷款宏观管理的通知》（国发〔1995〕30号）（1995</w:t>
                        </w:r>
                        <w:r w:rsidRPr="00AA2634">
                          <w:rPr>
                            <w:rFonts w:ascii="宋体" w:eastAsia="宋体" w:hAnsi="宋体" w:cs="宋体" w:hint="eastAsia"/>
                            <w:color w:val="000000"/>
                            <w:kern w:val="0"/>
                            <w:sz w:val="19"/>
                            <w:szCs w:val="19"/>
                          </w:rPr>
                          <w:lastRenderedPageBreak/>
                          <w:t>年9月27日）：</w:t>
                        </w:r>
                        <w:proofErr w:type="gramStart"/>
                        <w:r w:rsidRPr="00AA2634">
                          <w:rPr>
                            <w:rFonts w:ascii="宋体" w:eastAsia="宋体" w:hAnsi="宋体" w:cs="宋体" w:hint="eastAsia"/>
                            <w:color w:val="000000"/>
                            <w:kern w:val="0"/>
                            <w:sz w:val="19"/>
                            <w:szCs w:val="19"/>
                          </w:rPr>
                          <w:t>一</w:t>
                        </w:r>
                        <w:proofErr w:type="gramEnd"/>
                        <w:r w:rsidRPr="00AA2634">
                          <w:rPr>
                            <w:rFonts w:ascii="宋体" w:eastAsia="宋体" w:hAnsi="宋体" w:cs="宋体" w:hint="eastAsia"/>
                            <w:color w:val="000000"/>
                            <w:kern w:val="0"/>
                            <w:sz w:val="19"/>
                            <w:szCs w:val="19"/>
                          </w:rPr>
                          <w:t>（一） 国家计委根据我国的外债结构、偿还能力、外资需求、配套条件以及国际金融市场情况，在征求地方和有关部门意见的基础上，负责制订中长期和年度利用外资计划，下达借用中长期国际商业贷款的总规模。二、建设项目借用国际商业贷款，要按照国家规定的审批权限从严掌握。基本建设项目借用中长期国际商业贷款，其申请借款规模在国家规定限额以上的，由国家计委审批借款额度；技术改造项目借用中长期国际商业贷款，其申请借款规模在国家规定限额以上的，由国家经贸委会签国家计委审批借款额度。限额以下的，由地方政府或国务院有关部门在国家计委下达的国际商业贷款年度计划内审批。借用国际商业贷款的固定资产投资项目必须符合国家产业政策并纳入国家计划。凡未经审批部门批准立项，配套人民币资金不落实，能源、交通、原材料以及其他生产建设条件不具备，外资偿还能力差的项目，不得借用国际商业贷款。根据国家计委下达的年度借用国际商业贷款计划，由国家外汇管理局负责审批对外借款的金融条件。任何地区、部门和单位擅自对外签约借款或筹资，外汇管理部门将对其进行严肃处理，不予办理外</w:t>
                        </w:r>
                        <w:r w:rsidRPr="00AA2634">
                          <w:rPr>
                            <w:rFonts w:ascii="宋体" w:eastAsia="宋体" w:hAnsi="宋体" w:cs="宋体" w:hint="eastAsia"/>
                            <w:color w:val="000000"/>
                            <w:kern w:val="0"/>
                            <w:sz w:val="19"/>
                            <w:szCs w:val="19"/>
                          </w:rPr>
                          <w:lastRenderedPageBreak/>
                          <w:t>债登记，借款协议和担保合同一律无效，银行不得为其开立外汇</w:t>
                        </w:r>
                        <w:proofErr w:type="gramStart"/>
                        <w:r w:rsidRPr="00AA2634">
                          <w:rPr>
                            <w:rFonts w:ascii="宋体" w:eastAsia="宋体" w:hAnsi="宋体" w:cs="宋体" w:hint="eastAsia"/>
                            <w:color w:val="000000"/>
                            <w:kern w:val="0"/>
                            <w:sz w:val="19"/>
                            <w:szCs w:val="19"/>
                          </w:rPr>
                          <w:t>帐户</w:t>
                        </w:r>
                        <w:proofErr w:type="gramEnd"/>
                        <w:r w:rsidRPr="00AA2634">
                          <w:rPr>
                            <w:rFonts w:ascii="宋体" w:eastAsia="宋体" w:hAnsi="宋体" w:cs="宋体" w:hint="eastAsia"/>
                            <w:color w:val="000000"/>
                            <w:kern w:val="0"/>
                            <w:sz w:val="19"/>
                            <w:szCs w:val="19"/>
                          </w:rPr>
                          <w:t>，直至取消申请借款资格。境外投资借用国际商业贷款要从严控制，由国家计委负责审批。</w:t>
                        </w:r>
                        <w:r w:rsidRPr="00AA2634">
                          <w:rPr>
                            <w:rFonts w:ascii="宋体" w:eastAsia="宋体" w:hAnsi="宋体" w:cs="宋体" w:hint="eastAsia"/>
                            <w:color w:val="000000"/>
                            <w:kern w:val="0"/>
                            <w:sz w:val="19"/>
                            <w:szCs w:val="19"/>
                          </w:rPr>
                          <w:br w:type="page"/>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《国务院办公厅关于保留部分非行政许可审批项目的通知》（国办发〔2004〕62号）第8项 项目名称：借用各类国外贷款总规模及使用方向、限额以上国外贷款项目及利用外资方案审批（不含外商投资项目总投资与注册资本之间差额以内的对外借款）和限额以下国外贷款项目外债规模安排；实施机关：国家发展改革委。</w:t>
                        </w:r>
                        <w:r w:rsidRPr="00AA2634">
                          <w:rPr>
                            <w:rFonts w:ascii="宋体" w:eastAsia="宋体" w:hAnsi="宋体" w:cs="宋体" w:hint="eastAsia"/>
                            <w:color w:val="000000"/>
                            <w:kern w:val="0"/>
                            <w:sz w:val="19"/>
                            <w:szCs w:val="19"/>
                          </w:rPr>
                          <w:br w:type="page"/>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《外债管理暂行办法》（国家发展计划委员会、财政部、国家外汇管理局令第28号） 二（十五）：境内中资企业等机构举借中长期国际商业贷款，须经国家发展计划委员会批准。</w:t>
                        </w:r>
                        <w:r w:rsidRPr="00AA2634">
                          <w:rPr>
                            <w:rFonts w:ascii="宋体" w:eastAsia="宋体" w:hAnsi="宋体" w:cs="宋体" w:hint="eastAsia"/>
                            <w:color w:val="000000"/>
                            <w:kern w:val="0"/>
                            <w:sz w:val="19"/>
                            <w:szCs w:val="19"/>
                          </w:rPr>
                          <w:br w:type="page"/>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《国家计委关于借用国外贷款实行全口径计划管理的通知》</w:t>
                        </w:r>
                        <w:proofErr w:type="gramStart"/>
                        <w:r w:rsidRPr="00AA2634">
                          <w:rPr>
                            <w:rFonts w:ascii="宋体" w:eastAsia="宋体" w:hAnsi="宋体" w:cs="宋体" w:hint="eastAsia"/>
                            <w:color w:val="000000"/>
                            <w:kern w:val="0"/>
                            <w:sz w:val="19"/>
                            <w:szCs w:val="19"/>
                          </w:rPr>
                          <w:t>计外资</w:t>
                        </w:r>
                        <w:proofErr w:type="gramEnd"/>
                        <w:r w:rsidRPr="00AA2634">
                          <w:rPr>
                            <w:rFonts w:ascii="宋体" w:eastAsia="宋体" w:hAnsi="宋体" w:cs="宋体" w:hint="eastAsia"/>
                            <w:color w:val="000000"/>
                            <w:kern w:val="0"/>
                            <w:sz w:val="19"/>
                            <w:szCs w:val="19"/>
                          </w:rPr>
                          <w:t>〔1996〕第751号</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机关、事业单</w:t>
                        </w:r>
                        <w:r w:rsidRPr="00AA2634">
                          <w:rPr>
                            <w:rFonts w:ascii="宋体" w:eastAsia="宋体" w:hAnsi="宋体" w:cs="宋体" w:hint="eastAsia"/>
                            <w:color w:val="000000"/>
                            <w:kern w:val="0"/>
                            <w:sz w:val="19"/>
                            <w:szCs w:val="19"/>
                          </w:rPr>
                          <w:lastRenderedPageBreak/>
                          <w:t>位、企业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lastRenderedPageBreak/>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4.境内机构境外发债的审批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国务院办公厅转发国家计委、人民银行〈关于进一步加强对外发债管理意见〉的通知》（国办发〔2000〕23号，2000年3月10日）：二、对外发债的审批管理（二）对外发债的审批。（1）．境内机构（财政部除外）对外发债，经国</w:t>
                        </w:r>
                        <w:r w:rsidRPr="00AA2634">
                          <w:rPr>
                            <w:rFonts w:ascii="宋体" w:eastAsia="宋体" w:hAnsi="宋体" w:cs="宋体" w:hint="eastAsia"/>
                            <w:color w:val="000000"/>
                            <w:kern w:val="0"/>
                            <w:sz w:val="19"/>
                            <w:szCs w:val="19"/>
                          </w:rPr>
                          <w:lastRenderedPageBreak/>
                          <w:t>家计委审核并会签国家外汇管理局后报国务院审批。国务院批准后，市场选择、入市时机等由国家外汇管理局审批。地方政府不得对外举债。（4）．已上市外资股公司对外发行可转换债券，不实行资格审核批准制。国家计委会同中国证监会根据外资股公司境外融资需求及市场条件，确定境外可转换债券年度发行规模，并纳入当年利用外资计划。在年度规模内，按境内机构对外发债的审批程序办理，发债说明书报中国证监会备案。</w:t>
                        </w:r>
                        <w:r w:rsidRPr="00AA2634">
                          <w:rPr>
                            <w:rFonts w:ascii="宋体" w:eastAsia="宋体" w:hAnsi="宋体" w:cs="宋体" w:hint="eastAsia"/>
                            <w:color w:val="000000"/>
                            <w:kern w:val="0"/>
                            <w:sz w:val="19"/>
                            <w:szCs w:val="19"/>
                          </w:rPr>
                          <w:br w:type="page"/>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关于境内非金融机构赴香港发行人民币债券部门职责分工的意见》（中央编办发〔2011〕81号）：境内非金融机构境外发行人民币债券的职能分工，由国家发展改革委会同人民银行在国务院同意的年度总量限额内，对境内非金融机构赴港发行人民币债券的机构资格认定、发债规模、资金用途等进行核准。</w:t>
                        </w:r>
                        <w:r w:rsidRPr="00AA2634">
                          <w:rPr>
                            <w:rFonts w:ascii="宋体" w:eastAsia="宋体" w:hAnsi="宋体" w:cs="宋体" w:hint="eastAsia"/>
                            <w:color w:val="000000"/>
                            <w:kern w:val="0"/>
                            <w:sz w:val="19"/>
                            <w:szCs w:val="19"/>
                          </w:rPr>
                          <w:br w:type="page"/>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《国务院办公厅关于保留部分非行政许可审批项目的通知》（国办发〔2004〕62号）：《保留的非行政许可审批项目目录》第8项 项目名称：借用各类国外贷款总规模及使用方向、限额以上国外贷款项目及利用外资方案审批（不含外商投资项目总投资与注册资本之间差额以内的对</w:t>
                        </w:r>
                        <w:r w:rsidRPr="00AA2634">
                          <w:rPr>
                            <w:rFonts w:ascii="宋体" w:eastAsia="宋体" w:hAnsi="宋体" w:cs="宋体" w:hint="eastAsia"/>
                            <w:color w:val="000000"/>
                            <w:kern w:val="0"/>
                            <w:sz w:val="19"/>
                            <w:szCs w:val="19"/>
                          </w:rPr>
                          <w:lastRenderedPageBreak/>
                          <w:t>外借款）和限额以下国外贷款项目外债规模安排；实施机关：国家发展改革委。</w:t>
                        </w:r>
                        <w:r w:rsidRPr="00AA2634">
                          <w:rPr>
                            <w:rFonts w:ascii="宋体" w:eastAsia="宋体" w:hAnsi="宋体" w:cs="宋体" w:hint="eastAsia"/>
                            <w:color w:val="000000"/>
                            <w:kern w:val="0"/>
                            <w:sz w:val="19"/>
                            <w:szCs w:val="19"/>
                          </w:rPr>
                          <w:br w:type="page"/>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《国家发展改革委关于境内非金融机构赴香港特别行政区发行人民币债券有关事项的通知》（</w:t>
                        </w:r>
                        <w:proofErr w:type="gramStart"/>
                        <w:r w:rsidRPr="00AA2634">
                          <w:rPr>
                            <w:rFonts w:ascii="宋体" w:eastAsia="宋体" w:hAnsi="宋体" w:cs="宋体" w:hint="eastAsia"/>
                            <w:color w:val="000000"/>
                            <w:kern w:val="0"/>
                            <w:sz w:val="19"/>
                            <w:szCs w:val="19"/>
                          </w:rPr>
                          <w:t>发改外资</w:t>
                        </w:r>
                        <w:proofErr w:type="gramEnd"/>
                        <w:r w:rsidRPr="00AA2634">
                          <w:rPr>
                            <w:rFonts w:ascii="宋体" w:eastAsia="宋体" w:hAnsi="宋体" w:cs="宋体" w:hint="eastAsia"/>
                            <w:color w:val="000000"/>
                            <w:kern w:val="0"/>
                            <w:sz w:val="19"/>
                            <w:szCs w:val="19"/>
                          </w:rPr>
                          <w:t>〔2012〕1162号）</w:t>
                        </w:r>
                        <w:r w:rsidRPr="00AA2634">
                          <w:rPr>
                            <w:rFonts w:ascii="宋体" w:eastAsia="宋体" w:hAnsi="宋体" w:cs="宋体" w:hint="eastAsia"/>
                            <w:color w:val="000000"/>
                            <w:kern w:val="0"/>
                            <w:sz w:val="19"/>
                            <w:szCs w:val="19"/>
                          </w:rPr>
                          <w:br w:type="page"/>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国家发展改革委关于印发《境内非金融机构赴香港特别行政区发行人民币债券申请报告示范大纲》的通知（</w:t>
                        </w:r>
                        <w:proofErr w:type="gramStart"/>
                        <w:r w:rsidRPr="00AA2634">
                          <w:rPr>
                            <w:rFonts w:ascii="宋体" w:eastAsia="宋体" w:hAnsi="宋体" w:cs="宋体" w:hint="eastAsia"/>
                            <w:color w:val="000000"/>
                            <w:kern w:val="0"/>
                            <w:sz w:val="19"/>
                            <w:szCs w:val="19"/>
                          </w:rPr>
                          <w:t>发改外资</w:t>
                        </w:r>
                        <w:proofErr w:type="gramEnd"/>
                        <w:r w:rsidRPr="00AA2634">
                          <w:rPr>
                            <w:rFonts w:ascii="宋体" w:eastAsia="宋体" w:hAnsi="宋体" w:cs="宋体" w:hint="eastAsia"/>
                            <w:color w:val="000000"/>
                            <w:kern w:val="0"/>
                            <w:sz w:val="19"/>
                            <w:szCs w:val="19"/>
                          </w:rPr>
                          <w:t>〔2013〕477号）</w:t>
                        </w:r>
                        <w:r w:rsidRPr="00AA2634">
                          <w:rPr>
                            <w:rFonts w:ascii="宋体" w:eastAsia="宋体" w:hAnsi="宋体" w:cs="宋体" w:hint="eastAsia"/>
                            <w:color w:val="000000"/>
                            <w:kern w:val="0"/>
                            <w:sz w:val="19"/>
                            <w:szCs w:val="19"/>
                          </w:rPr>
                          <w:br w:type="page"/>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 xml:space="preserve">《外债管理暂行办法》（国家发展计划委员会、财政部、国家外汇管理局令第28号） </w:t>
                        </w:r>
                        <w:proofErr w:type="gramStart"/>
                        <w:r w:rsidRPr="00AA2634">
                          <w:rPr>
                            <w:rFonts w:ascii="宋体" w:eastAsia="宋体" w:hAnsi="宋体" w:cs="宋体" w:hint="eastAsia"/>
                            <w:color w:val="000000"/>
                            <w:kern w:val="0"/>
                            <w:sz w:val="19"/>
                            <w:szCs w:val="19"/>
                          </w:rPr>
                          <w:t>一</w:t>
                        </w:r>
                        <w:proofErr w:type="gramEnd"/>
                        <w:r w:rsidRPr="00AA2634">
                          <w:rPr>
                            <w:rFonts w:ascii="宋体" w:eastAsia="宋体" w:hAnsi="宋体" w:cs="宋体" w:hint="eastAsia"/>
                            <w:color w:val="000000"/>
                            <w:kern w:val="0"/>
                            <w:sz w:val="19"/>
                            <w:szCs w:val="19"/>
                          </w:rPr>
                          <w:t>（八）：国家对各类外债和</w:t>
                        </w:r>
                        <w:proofErr w:type="gramStart"/>
                        <w:r w:rsidRPr="00AA2634">
                          <w:rPr>
                            <w:rFonts w:ascii="宋体" w:eastAsia="宋体" w:hAnsi="宋体" w:cs="宋体" w:hint="eastAsia"/>
                            <w:color w:val="000000"/>
                            <w:kern w:val="0"/>
                            <w:sz w:val="19"/>
                            <w:szCs w:val="19"/>
                          </w:rPr>
                          <w:t>或</w:t>
                        </w:r>
                        <w:proofErr w:type="gramEnd"/>
                        <w:r w:rsidRPr="00AA2634">
                          <w:rPr>
                            <w:rFonts w:ascii="宋体" w:eastAsia="宋体" w:hAnsi="宋体" w:cs="宋体" w:hint="eastAsia"/>
                            <w:color w:val="000000"/>
                            <w:kern w:val="0"/>
                            <w:sz w:val="19"/>
                            <w:szCs w:val="19"/>
                          </w:rPr>
                          <w:t>有外债实行全口径管理。举借外债、对外担保、外债资金的使用和偿还须符合国家有关法律、法规和本办法的规定。</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境外发行外币债券征求外汇局意见后报国务院</w:t>
                        </w:r>
                        <w:r w:rsidRPr="00AA2634">
                          <w:rPr>
                            <w:rFonts w:ascii="宋体" w:eastAsia="宋体" w:hAnsi="宋体" w:cs="宋体" w:hint="eastAsia"/>
                            <w:color w:val="000000"/>
                            <w:kern w:val="0"/>
                            <w:sz w:val="19"/>
                            <w:szCs w:val="19"/>
                          </w:rPr>
                          <w:lastRenderedPageBreak/>
                          <w:t>审批；境外发行人民币债券会同人民银行审批</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机关、事业单位、企业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01015</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资源综合利用企业（含电厂）认定</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《国务院办公厅关于保留部分非行政许可审批项目的通知》（国办发〔2004〕62号）第3项：“资源综合利用企业（含电厂）认定”。实施机关：国家发展改革委、省级人民政府。</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01016</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国家企业（集团）技术中心、国家工程实验室</w:t>
                        </w:r>
                        <w:r w:rsidRPr="00AA2634">
                          <w:rPr>
                            <w:rFonts w:ascii="宋体" w:eastAsia="宋体" w:hAnsi="宋体" w:cs="宋体" w:hint="eastAsia"/>
                            <w:color w:val="000000"/>
                            <w:kern w:val="0"/>
                            <w:sz w:val="19"/>
                            <w:szCs w:val="19"/>
                          </w:rPr>
                          <w:lastRenderedPageBreak/>
                          <w:t>和国家工程研究中心的认定</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《“十二五”国家自主创新能力建设规划》（国发〔2013〕4号）：加强企业研发机构建设，重点建设一批国家认定企业技术中心。新建若干</w:t>
                        </w:r>
                        <w:proofErr w:type="gramStart"/>
                        <w:r w:rsidRPr="00AA2634">
                          <w:rPr>
                            <w:rFonts w:ascii="宋体" w:eastAsia="宋体" w:hAnsi="宋体" w:cs="宋体" w:hint="eastAsia"/>
                            <w:color w:val="000000"/>
                            <w:kern w:val="0"/>
                            <w:sz w:val="19"/>
                            <w:szCs w:val="19"/>
                          </w:rPr>
                          <w:t>家国家</w:t>
                        </w:r>
                        <w:proofErr w:type="gramEnd"/>
                        <w:r w:rsidRPr="00AA2634">
                          <w:rPr>
                            <w:rFonts w:ascii="宋体" w:eastAsia="宋体" w:hAnsi="宋体" w:cs="宋体" w:hint="eastAsia"/>
                            <w:color w:val="000000"/>
                            <w:kern w:val="0"/>
                            <w:sz w:val="19"/>
                            <w:szCs w:val="19"/>
                          </w:rPr>
                          <w:t>工程（重点）实验室。重点建设和完善100家国家工程中心。</w:t>
                        </w:r>
                        <w:r w:rsidRPr="00AA2634">
                          <w:rPr>
                            <w:rFonts w:ascii="宋体" w:eastAsia="宋体" w:hAnsi="宋体" w:cs="宋体" w:hint="eastAsia"/>
                            <w:color w:val="000000"/>
                            <w:kern w:val="0"/>
                            <w:sz w:val="19"/>
                            <w:szCs w:val="19"/>
                          </w:rPr>
                          <w:br w:type="page"/>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科技开发用品免征进口税收暂行规定》（财政部、海关总署、国家税务总局第63号令）第二条第二项：下列科学研究、技术开发机构，进口科研开发用品，免征进口关税和进口环节增值税、消费税。……国家发展改革委会同财政部、海关总署、国家税务总局和科技部核定的企业技术中心。……国家发展和改革委员会会同财政部、海关总署和国家税务总局核定的国家工程研究中心。</w:t>
                        </w:r>
                        <w:r w:rsidRPr="00AA2634">
                          <w:rPr>
                            <w:rFonts w:ascii="宋体" w:eastAsia="宋体" w:hAnsi="宋体" w:cs="宋体" w:hint="eastAsia"/>
                            <w:color w:val="000000"/>
                            <w:kern w:val="0"/>
                            <w:sz w:val="19"/>
                            <w:szCs w:val="19"/>
                          </w:rPr>
                          <w:br w:type="page"/>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办公厅关于同意制订《实施〈国家中长期科学和技术发展规划纲要〉的若干配套政策》实施细则的复函（国办函〔2006〕30号）第25条：发展改革委牵头制订国家认定企业技术中心管理办法。第27条：发展改革委牵头制订国家工程研究中心管理办法。第28条：发展改革委牵头制订国家工程实验室管理办法。</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企业技术中心的共同审批部门为财政部、</w:t>
                        </w:r>
                        <w:r w:rsidRPr="00AA2634">
                          <w:rPr>
                            <w:rFonts w:ascii="宋体" w:eastAsia="宋体" w:hAnsi="宋体" w:cs="宋体" w:hint="eastAsia"/>
                            <w:color w:val="000000"/>
                            <w:kern w:val="0"/>
                            <w:sz w:val="19"/>
                            <w:szCs w:val="19"/>
                          </w:rPr>
                          <w:lastRenderedPageBreak/>
                          <w:t>海关总署、国家税务总局和科技部</w:t>
                        </w:r>
                        <w:r w:rsidRPr="00AA2634">
                          <w:rPr>
                            <w:rFonts w:ascii="宋体" w:eastAsia="宋体" w:hAnsi="宋体" w:cs="宋体" w:hint="eastAsia"/>
                            <w:color w:val="000000"/>
                            <w:kern w:val="0"/>
                            <w:sz w:val="19"/>
                            <w:szCs w:val="19"/>
                          </w:rPr>
                          <w:br w:type="page"/>
                          <w:t>；国家工程研究中心的共同审批部门根据需要，会同有关部门</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事业单位、企业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01017</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重要行业、重要领域、重大项目、重点地区和基本建立现代企</w:t>
                        </w:r>
                        <w:r w:rsidRPr="00AA2634">
                          <w:rPr>
                            <w:rFonts w:ascii="宋体" w:eastAsia="宋体" w:hAnsi="宋体" w:cs="宋体" w:hint="eastAsia"/>
                            <w:color w:val="000000"/>
                            <w:kern w:val="0"/>
                            <w:sz w:val="19"/>
                            <w:szCs w:val="19"/>
                          </w:rPr>
                          <w:lastRenderedPageBreak/>
                          <w:t>业制度特大型企业集团（不含外商投资企业）的发展建设规划、专项发展建设规划审批</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国务院办公厅关于保留部分非行政许可审批项目的通知》（国办发〔2004〕62号）第6项：“重要行业、重要领域、重大项目、重点地区和基本建立现代企业制度特大型企业集团（不含外商投资企业）的发展建设规划、专项发展建设规划审批”。实施机关：国家发展改革委。</w:t>
                        </w:r>
                        <w:r w:rsidRPr="00AA2634">
                          <w:rPr>
                            <w:rFonts w:ascii="宋体" w:eastAsia="宋体" w:hAnsi="宋体" w:cs="宋体" w:hint="eastAsia"/>
                            <w:color w:val="000000"/>
                            <w:kern w:val="0"/>
                            <w:sz w:val="19"/>
                            <w:szCs w:val="19"/>
                          </w:rPr>
                          <w:br w:type="page"/>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国务院关于投资体制改革的决定》（国发〔2004〕20号）第四条第（二）：国务院有关部门要依据国民经济和社会发展中长期规划，编制教育、科技、卫生、交通、能源、农业、林业、水利、生态建设、环境保护、战略资源开发等重要领域的发展建设规划，包括必要的专项发展建设规划，明确发展的指导思想、战略目标、总体布局和主要建设项目等。按照规定程序批准的发展建设规划是投资决策的重要依据。</w:t>
                        </w:r>
                        <w:r w:rsidRPr="00AA2634">
                          <w:rPr>
                            <w:rFonts w:ascii="宋体" w:eastAsia="宋体" w:hAnsi="宋体" w:cs="宋体" w:hint="eastAsia"/>
                            <w:color w:val="000000"/>
                            <w:kern w:val="0"/>
                            <w:sz w:val="19"/>
                            <w:szCs w:val="19"/>
                          </w:rPr>
                          <w:br w:type="page"/>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关于加强国民经济和社会发展规划编制工作的若干意见》（国发〔2005〕33号）第一条第一款：跨省（区、市）的区域规划，由国务院发展改革部门组织国务院有关部门和区域内省（区、市）人民政府有关部门编制；第四条第十一款：跨省（区、市）的区域规划由国务院批准。</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根据需要，会同有关部门。</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机关、企业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01018</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全国研究生招生总量、普通高校本科生招生总量及分地区分部门招</w:t>
                        </w:r>
                        <w:r w:rsidRPr="00AA2634">
                          <w:rPr>
                            <w:rFonts w:ascii="宋体" w:eastAsia="宋体" w:hAnsi="宋体" w:cs="宋体" w:hint="eastAsia"/>
                            <w:color w:val="000000"/>
                            <w:kern w:val="0"/>
                            <w:sz w:val="19"/>
                            <w:szCs w:val="19"/>
                          </w:rPr>
                          <w:lastRenderedPageBreak/>
                          <w:t>生计划审批</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办公厅关于保留部分非行政许可审批项目的通知》（国办发〔2004〕62号）第11项：“全国普通高校研究生招生总量、本科生招生总量及分地区分部门招生计划审批”。实施机关：国家发展改革委、教育部。</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教育部（国家</w:t>
                        </w:r>
                        <w:proofErr w:type="gramStart"/>
                        <w:r w:rsidRPr="00AA2634">
                          <w:rPr>
                            <w:rFonts w:ascii="宋体" w:eastAsia="宋体" w:hAnsi="宋体" w:cs="宋体" w:hint="eastAsia"/>
                            <w:color w:val="000000"/>
                            <w:kern w:val="0"/>
                            <w:sz w:val="19"/>
                            <w:szCs w:val="19"/>
                          </w:rPr>
                          <w:t>发改委为主</w:t>
                        </w:r>
                        <w:proofErr w:type="gramEnd"/>
                        <w:r w:rsidRPr="00AA2634">
                          <w:rPr>
                            <w:rFonts w:ascii="宋体" w:eastAsia="宋体" w:hAnsi="宋体" w:cs="宋体" w:hint="eastAsia"/>
                            <w:color w:val="000000"/>
                            <w:kern w:val="0"/>
                            <w:sz w:val="19"/>
                            <w:szCs w:val="19"/>
                          </w:rPr>
                          <w:t>征得教育部同意）</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机关、事业单位、企业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01019</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地方定价目录审定</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中华人民共和国价格法》第十九条：“地方定价目录由省、自治区、直辖市人民政府价格主管部门按照中央定价目录规定的定价权限和具体适用范围制定，经本级人民政府审核同意，报国务院价格主管部门审定后公布”。</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行政机关</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01020</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行政事业性收费标准审批</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《国务院办公厅关于保留部分非行政许可审批项目的通知》（国办发〔2004〕62号）第10项："行政事业性收费标准审批。实施机关：国家发展改革委、财政部、各省级人民政府及其价格、财政部门。</w:t>
                        </w:r>
                        <w:r w:rsidRPr="00AA2634">
                          <w:rPr>
                            <w:rFonts w:ascii="宋体" w:eastAsia="宋体" w:hAnsi="宋体" w:cs="宋体" w:hint="eastAsia"/>
                            <w:color w:val="000000"/>
                            <w:kern w:val="0"/>
                            <w:sz w:val="19"/>
                            <w:szCs w:val="19"/>
                          </w:rPr>
                          <w:br w:type="page"/>
                          <w:t>《中华人民共和国价格管理条例》第三十六条：对行政性收费、事业性收费，物价部门应当根据国家的价格方针、政策进行管理和监督，并会同有关部门核定收费标准。</w:t>
                        </w:r>
                        <w:r w:rsidRPr="00AA2634">
                          <w:rPr>
                            <w:rFonts w:ascii="宋体" w:eastAsia="宋体" w:hAnsi="宋体" w:cs="宋体" w:hint="eastAsia"/>
                            <w:color w:val="000000"/>
                            <w:kern w:val="0"/>
                            <w:sz w:val="19"/>
                            <w:szCs w:val="19"/>
                          </w:rPr>
                          <w:br w:type="page"/>
                          <w:t>《国务院关于加强预算外资金管理的决定》（国发〔1996〕29号）规定：行政事业性收费要严格执行中央、省两级审批的管理制度。收费项目按隶属关系分别报国务院和省、自治区、直辖市人民政府的财政部门会同计划（物价）部门批准；确定和调整收费标准，按隶属关系分别报国务院和省、自治区、直辖市人民政府的计划（物价）部门会同财政部门批准；重</w:t>
                        </w:r>
                        <w:r w:rsidRPr="00AA2634">
                          <w:rPr>
                            <w:rFonts w:ascii="宋体" w:eastAsia="宋体" w:hAnsi="宋体" w:cs="宋体" w:hint="eastAsia"/>
                            <w:color w:val="000000"/>
                            <w:kern w:val="0"/>
                            <w:sz w:val="19"/>
                            <w:szCs w:val="19"/>
                          </w:rPr>
                          <w:lastRenderedPageBreak/>
                          <w:t>要的收费项目和标准制定及调整应报请国务院或省级人民政府批准。省、自治区、直辖市人民政府批准的行政事业性收费项目和收费标准报财政部、国家计委备案。</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财政部（共同盖章部门）</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行政机关、事业单位、代行政府职能的社会团体及其他组织</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01021</w:t>
                        </w:r>
                      </w:p>
                    </w:tc>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中央政府专项资金使用审批</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1.编制下达财政预算内以工代赈年度计划审批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国务院办公厅关于保留部分非行政许可审批项目的通知》（国办发〔2004〕62号）第9项：“中央政府专项资金使用审批〔包括以工代赈资金、产业技术研发资金（科技三项费）、行业规划和部分行业标准经费、国家服务业发展引导资金、各项社会事业专项资金等〕”，实施机关：国家发展改革委。</w:t>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关于投资体制改革的决定》（国发〔2004〕20号）第三部分：“编制政府投资的中长期规划和年度计划，统筹安排、合理使用各类政府投资资金”。财政部、国家发展改革委、扶贫办联合印发《财政专项扶贫资金管理办法》（</w:t>
                        </w:r>
                        <w:proofErr w:type="gramStart"/>
                        <w:r w:rsidRPr="00AA2634">
                          <w:rPr>
                            <w:rFonts w:ascii="宋体" w:eastAsia="宋体" w:hAnsi="宋体" w:cs="宋体" w:hint="eastAsia"/>
                            <w:color w:val="000000"/>
                            <w:kern w:val="0"/>
                            <w:sz w:val="19"/>
                            <w:szCs w:val="19"/>
                          </w:rPr>
                          <w:t>财农〔2011〕</w:t>
                        </w:r>
                        <w:proofErr w:type="gramEnd"/>
                        <w:r w:rsidRPr="00AA2634">
                          <w:rPr>
                            <w:rFonts w:ascii="宋体" w:eastAsia="宋体" w:hAnsi="宋体" w:cs="宋体" w:hint="eastAsia"/>
                            <w:color w:val="000000"/>
                            <w:kern w:val="0"/>
                            <w:sz w:val="19"/>
                            <w:szCs w:val="19"/>
                          </w:rPr>
                          <w:t>412号）：“发展改革委下达以工代赈计划，财政部拨付资金”。</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财政部</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事业单位、企业、机关</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2.产业技术研发资金审批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中华人民共和国促进科技成果转化法》第四条：“国务院科学技术行政部门、计划部门、经济综合管理部门和其他有关行政部门依照国务院规定的职责范围，管理、指导和协调科技成果转化工作”。第二十一条：“国家财政用于科学技</w:t>
                        </w:r>
                        <w:r w:rsidRPr="00AA2634">
                          <w:rPr>
                            <w:rFonts w:ascii="宋体" w:eastAsia="宋体" w:hAnsi="宋体" w:cs="宋体" w:hint="eastAsia"/>
                            <w:color w:val="000000"/>
                            <w:kern w:val="0"/>
                            <w:sz w:val="19"/>
                            <w:szCs w:val="19"/>
                          </w:rPr>
                          <w:lastRenderedPageBreak/>
                          <w:t>术、固定资产投资和技术改造的经费，应当有一定比例用于科技成果转化”。</w:t>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办公厅转发发展改革委等部门关于促进自主创新成果产业化若干政策的通知》（国办发〔2008〕128号）：“启动实施自主创新成果产业化专项工程。给予适当的政策、资金支持。发展改革委要会同有关部门抓紧制定具体办法，做好组织实施工作。发展改革委等部门要加强对自主创新成果产业化的总体规划和协调”。</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事业单位、企业、机关</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3.战略性新兴产业发展专项资金审批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《国务院关于加快培育和发展战略性新兴产业决定》（国发〔2010〕32号）第七条：“在整合现有政策资源和资金渠道的基础上，设立战略性新兴产业发展专项资金”。</w:t>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《“十二五”国家战略性新兴产业发展规划》（国发〔2012〕28号）第五部分：设立战略性新兴产业发展专项资金。</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与财政部会同工业和信息化部、卫生部、农业部等（视不同专项定）</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事业单位、企业、机关</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4.循环经济发展专项资金审批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中华人民共和国循环经济促进法》第四十二条：“国务院和省、自治区、直辖市人民政府设立发展循环经济的专项资金，支持循环经济的科技研究开发、循环经济技术和产品的示范与推广、重大循环经济项目的实施、发展循环经济的信息</w:t>
                        </w:r>
                        <w:r w:rsidRPr="00AA2634">
                          <w:rPr>
                            <w:rFonts w:ascii="宋体" w:eastAsia="宋体" w:hAnsi="宋体" w:cs="宋体" w:hint="eastAsia"/>
                            <w:color w:val="000000"/>
                            <w:kern w:val="0"/>
                            <w:sz w:val="19"/>
                            <w:szCs w:val="19"/>
                          </w:rPr>
                          <w:lastRenderedPageBreak/>
                          <w:t>服务等”。</w:t>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《循环经济发展战略及近期行动计划》（国发〔2013〕5号）规定，中央和省级人民政府依法设定循环经济发展专项资金，支持循环经济重大工程、重点项目及能力建设。</w:t>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《国务院关于加快发展循环经济的若干意见》（国发〔2005〕22号）规定，财政部门要积极安排资金支持发展循环经济的政策制定、技术推广、示范试点、宣传培训等。</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财政部</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地方政府、企业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5.节能技术改造财政奖励资金审批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《财政部国家发展改革委关于印发〈节能技术改造财政奖励资金管理办法〉的通知》（</w:t>
                        </w:r>
                        <w:proofErr w:type="gramStart"/>
                        <w:r w:rsidRPr="00AA2634">
                          <w:rPr>
                            <w:rFonts w:ascii="宋体" w:eastAsia="宋体" w:hAnsi="宋体" w:cs="宋体" w:hint="eastAsia"/>
                            <w:color w:val="000000"/>
                            <w:kern w:val="0"/>
                            <w:sz w:val="19"/>
                            <w:szCs w:val="19"/>
                          </w:rPr>
                          <w:t>财建〔2011〕</w:t>
                        </w:r>
                        <w:proofErr w:type="gramEnd"/>
                        <w:r w:rsidRPr="00AA2634">
                          <w:rPr>
                            <w:rFonts w:ascii="宋体" w:eastAsia="宋体" w:hAnsi="宋体" w:cs="宋体" w:hint="eastAsia"/>
                            <w:color w:val="000000"/>
                            <w:kern w:val="0"/>
                            <w:sz w:val="19"/>
                            <w:szCs w:val="19"/>
                          </w:rPr>
                          <w:t>367号）第十条：“国家发展改革委、财政部组织专家对地方上报的资金申请报告和审核报告进行复审，国家发展改革委根据复审结果下达项目实施计划，财政部根据项目实施计划按照奖励金额的60%下达预算”。</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财政部</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6.合同能源管理财政奖励资金审批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《财政部国家发展改革委关于印发〈合同能源管理项目财政奖励资金管理暂行办法〉的通知》（</w:t>
                        </w:r>
                        <w:proofErr w:type="gramStart"/>
                        <w:r w:rsidRPr="00AA2634">
                          <w:rPr>
                            <w:rFonts w:ascii="宋体" w:eastAsia="宋体" w:hAnsi="宋体" w:cs="宋体" w:hint="eastAsia"/>
                            <w:color w:val="000000"/>
                            <w:kern w:val="0"/>
                            <w:sz w:val="19"/>
                            <w:szCs w:val="19"/>
                          </w:rPr>
                          <w:t>财建〔2010〕</w:t>
                        </w:r>
                        <w:proofErr w:type="gramEnd"/>
                        <w:r w:rsidRPr="00AA2634">
                          <w:rPr>
                            <w:rFonts w:ascii="宋体" w:eastAsia="宋体" w:hAnsi="宋体" w:cs="宋体" w:hint="eastAsia"/>
                            <w:color w:val="000000"/>
                            <w:kern w:val="0"/>
                            <w:sz w:val="19"/>
                            <w:szCs w:val="19"/>
                          </w:rPr>
                          <w:t>249号）第十二条：“财政部会同国家发展改革委综合考虑各地节能潜力、合同能源管理项目实施情况、资金需求以及中央财政预算规模等因素，统筹核定各省（区、市）财政</w:t>
                        </w:r>
                        <w:r w:rsidRPr="00AA2634">
                          <w:rPr>
                            <w:rFonts w:ascii="宋体" w:eastAsia="宋体" w:hAnsi="宋体" w:cs="宋体" w:hint="eastAsia"/>
                            <w:color w:val="000000"/>
                            <w:kern w:val="0"/>
                            <w:sz w:val="19"/>
                            <w:szCs w:val="19"/>
                          </w:rPr>
                          <w:lastRenderedPageBreak/>
                          <w:t>奖励资金年度规模”。</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财政部</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7.节能产品惠民工程审批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《中华人民共和国节约能源法》第五十八条：“国务院管理节能工作的部门会同国务院有关部门制定并公布节能技术、节能产品的推广目录，引导用能单位和个人使用先进的节能技术、节能产品。”</w:t>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《财政部国家发展改革委关于开展节能产品惠民工程的通知》（</w:t>
                        </w:r>
                        <w:proofErr w:type="gramStart"/>
                        <w:r w:rsidRPr="00AA2634">
                          <w:rPr>
                            <w:rFonts w:ascii="宋体" w:eastAsia="宋体" w:hAnsi="宋体" w:cs="宋体" w:hint="eastAsia"/>
                            <w:color w:val="000000"/>
                            <w:kern w:val="0"/>
                            <w:sz w:val="19"/>
                            <w:szCs w:val="19"/>
                          </w:rPr>
                          <w:t>财建〔2009〕</w:t>
                        </w:r>
                        <w:proofErr w:type="gramEnd"/>
                        <w:r w:rsidRPr="00AA2634">
                          <w:rPr>
                            <w:rFonts w:ascii="宋体" w:eastAsia="宋体" w:hAnsi="宋体" w:cs="宋体" w:hint="eastAsia"/>
                            <w:color w:val="000000"/>
                            <w:kern w:val="0"/>
                            <w:sz w:val="19"/>
                            <w:szCs w:val="19"/>
                          </w:rPr>
                          <w:t>213号）：《高效节能产品推广财政补助资金管理暂行办法》第8条：“国家发展改革委、财政部组织对地方上报的高效节能产品推广申请报告及相关材料进行审核，并公告推广产品规格型号及推广企业目录。”</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财政部、工业和信息化部</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8.巩固退耕还</w:t>
                        </w:r>
                        <w:proofErr w:type="gramStart"/>
                        <w:r w:rsidRPr="00AA2634">
                          <w:rPr>
                            <w:rFonts w:ascii="宋体" w:eastAsia="宋体" w:hAnsi="宋体" w:cs="宋体" w:hint="eastAsia"/>
                            <w:color w:val="000000"/>
                            <w:kern w:val="0"/>
                            <w:sz w:val="19"/>
                            <w:szCs w:val="19"/>
                          </w:rPr>
                          <w:t>林成果</w:t>
                        </w:r>
                        <w:proofErr w:type="gramEnd"/>
                        <w:r w:rsidRPr="00AA2634">
                          <w:rPr>
                            <w:rFonts w:ascii="宋体" w:eastAsia="宋体" w:hAnsi="宋体" w:cs="宋体" w:hint="eastAsia"/>
                            <w:color w:val="000000"/>
                            <w:kern w:val="0"/>
                            <w:sz w:val="19"/>
                            <w:szCs w:val="19"/>
                          </w:rPr>
                          <w:t>年度计划审批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《国务院关于完善退耕还林政策的通知》（国发〔2007〕25号）第（五）：“中央财政按照退耕还林面积核定各省（区、市）巩固退耕还林成果专项资金总量，并从2008年起按8年集中安排，逐年下达，包干到省”。</w:t>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《巩固退耕还林成果专项资金和管理办法》（</w:t>
                        </w:r>
                        <w:proofErr w:type="gramStart"/>
                        <w:r w:rsidRPr="00AA2634">
                          <w:rPr>
                            <w:rFonts w:ascii="宋体" w:eastAsia="宋体" w:hAnsi="宋体" w:cs="宋体" w:hint="eastAsia"/>
                            <w:color w:val="000000"/>
                            <w:kern w:val="0"/>
                            <w:sz w:val="19"/>
                            <w:szCs w:val="19"/>
                          </w:rPr>
                          <w:t>财农〔2007〕</w:t>
                        </w:r>
                        <w:proofErr w:type="gramEnd"/>
                        <w:r w:rsidRPr="00AA2634">
                          <w:rPr>
                            <w:rFonts w:ascii="宋体" w:eastAsia="宋体" w:hAnsi="宋体" w:cs="宋体" w:hint="eastAsia"/>
                            <w:color w:val="000000"/>
                            <w:kern w:val="0"/>
                            <w:sz w:val="19"/>
                            <w:szCs w:val="19"/>
                          </w:rPr>
                          <w:t>327号）第六条：“各省、自治区、直辖市人民政府有关部门根据国家有关部门审核同意的巩固退耕还林成果专项规划，于每年11月30日前将下年度资金使用计划报国家发改委、</w:t>
                        </w:r>
                        <w:r w:rsidRPr="00AA2634">
                          <w:rPr>
                            <w:rFonts w:ascii="宋体" w:eastAsia="宋体" w:hAnsi="宋体" w:cs="宋体" w:hint="eastAsia"/>
                            <w:color w:val="000000"/>
                            <w:kern w:val="0"/>
                            <w:sz w:val="19"/>
                            <w:szCs w:val="19"/>
                          </w:rPr>
                          <w:lastRenderedPageBreak/>
                          <w:t>国务院西部开发办会同财政部、农业部、国家林业局等部门汇总审核并下达任务计划”。</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财政部、水利部、农业部、林业局</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机关</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9.资源枯竭城市界定</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《国务院关于促进资源型城市可持续发展的若干意见》（国发〔2007〕38号）“七、……具体方案和首批资源枯竭城市界定名单分别由财政部和发展改革委、国土资源部、振兴东北办另行上报国务院。”</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国土资源部、财政部</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地方政府</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10.发展滞缓或主导产业衰退比较明显的老工业城市界定</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《全国老工业基地调整改造规划（2013-2022年）》（</w:t>
                        </w:r>
                        <w:proofErr w:type="gramStart"/>
                        <w:r w:rsidRPr="00AA2634">
                          <w:rPr>
                            <w:rFonts w:ascii="宋体" w:eastAsia="宋体" w:hAnsi="宋体" w:cs="宋体" w:hint="eastAsia"/>
                            <w:color w:val="000000"/>
                            <w:kern w:val="0"/>
                            <w:sz w:val="19"/>
                            <w:szCs w:val="19"/>
                          </w:rPr>
                          <w:t>发改东北</w:t>
                        </w:r>
                        <w:proofErr w:type="gramEnd"/>
                        <w:r w:rsidRPr="00AA2634">
                          <w:rPr>
                            <w:rFonts w:ascii="宋体" w:eastAsia="宋体" w:hAnsi="宋体" w:cs="宋体" w:hint="eastAsia"/>
                            <w:color w:val="000000"/>
                            <w:kern w:val="0"/>
                            <w:sz w:val="19"/>
                            <w:szCs w:val="19"/>
                          </w:rPr>
                          <w:t>〔2013〕543号）“九、政策扶持与规划实施……（四）规划实施……发展改革委要切实加强规划实施的组织协调，会同有关部门尽快确定发展滞缓或主导产业衰退比较明显的老工业城市名单”。</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财政部</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地方政府</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01022</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中央预算内投资年度计划审批</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关于投资体制改革的决定》（国发〔2004〕20号）第三部分（三）：“编制政府投资的中长期规划和年度计划，统筹安排、合理使用各类政府投资资金，包括预算内投资、各类专项建设基金、统借国外贷款等”。</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机关、事业单位、企业和社团组织</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01023</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全国及分地区人口计划审批</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《国务院办公厅关于保留部分非行政许可审批项目的通知》（国办发〔2004〕62号）第12项：全国及分地区人口计划审批。实施机关：国家发展改革委。</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机关</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01024</w:t>
                        </w:r>
                      </w:p>
                    </w:tc>
                    <w:tc>
                      <w:tcPr>
                        <w:tcW w:w="661"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享受税收优惠政策的集成电路企业和国家规划布局内重点软件企业的认定</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ind w:firstLine="420"/>
                          <w:jc w:val="left"/>
                          <w:rPr>
                            <w:rFonts w:ascii="ˎ̥" w:eastAsia="宋体" w:hAnsi="ˎ̥" w:cs="宋体" w:hint="eastAsia"/>
                            <w:color w:val="000000"/>
                            <w:kern w:val="0"/>
                            <w:sz w:val="19"/>
                            <w:szCs w:val="19"/>
                          </w:rPr>
                        </w:pPr>
                        <w:r w:rsidRPr="00AA2634">
                          <w:rPr>
                            <w:rFonts w:ascii="宋体" w:eastAsia="宋体" w:hAnsi="宋体" w:cs="宋体" w:hint="eastAsia"/>
                            <w:color w:val="000000"/>
                            <w:kern w:val="0"/>
                            <w:sz w:val="19"/>
                            <w:szCs w:val="19"/>
                          </w:rPr>
                          <w:t>《国务院关于印发鼓励软件产业和集成电路产业发展若干政策的通知》（国发〔2000〕18号）第七条：对国家规划布局内的重点软件企业，当年未享受免税优惠的减按10%的税率征收企业所得税。国家规划布局内的重点软件企业名单由国家计委、信息产业部、外经贸部和国家税务总局共同确定。</w:t>
                        </w:r>
                      </w:p>
                      <w:p w:rsidR="00AA2634" w:rsidRPr="00AA2634" w:rsidRDefault="00AA2634" w:rsidP="00AA2634">
                        <w:pPr>
                          <w:widowControl/>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《国务院关于印发进一步鼓励软件产业和集成电路产业发展若干政策的通知》（国发〔2011〕4号）第七条：国家规划布局内的集成电路设计企业符合相关条件的，可</w:t>
                        </w:r>
                        <w:proofErr w:type="gramStart"/>
                        <w:r w:rsidRPr="00AA2634">
                          <w:rPr>
                            <w:rFonts w:ascii="宋体" w:eastAsia="宋体" w:hAnsi="宋体" w:cs="宋体" w:hint="eastAsia"/>
                            <w:color w:val="000000"/>
                            <w:kern w:val="0"/>
                            <w:sz w:val="19"/>
                            <w:szCs w:val="19"/>
                          </w:rPr>
                          <w:t>比照国</w:t>
                        </w:r>
                        <w:proofErr w:type="gramEnd"/>
                        <w:r w:rsidRPr="00AA2634">
                          <w:rPr>
                            <w:rFonts w:ascii="宋体" w:eastAsia="宋体" w:hAnsi="宋体" w:cs="宋体" w:hint="eastAsia"/>
                            <w:color w:val="000000"/>
                            <w:kern w:val="0"/>
                            <w:sz w:val="19"/>
                            <w:szCs w:val="19"/>
                          </w:rPr>
                          <w:t>发18号文件享受国家规划布局内重点软件企业所得税优惠政策。具体办法由发展改革委会同有关部门制定。</w:t>
                        </w:r>
                      </w:p>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《国家规划布局内重点软件产业和集成电路设计企业认定管理试行办法》（</w:t>
                        </w:r>
                        <w:proofErr w:type="gramStart"/>
                        <w:r w:rsidRPr="00AA2634">
                          <w:rPr>
                            <w:rFonts w:ascii="宋体" w:eastAsia="宋体" w:hAnsi="宋体" w:cs="宋体" w:hint="eastAsia"/>
                            <w:color w:val="000000"/>
                            <w:kern w:val="0"/>
                            <w:sz w:val="19"/>
                            <w:szCs w:val="19"/>
                          </w:rPr>
                          <w:t>发改高</w:t>
                        </w:r>
                        <w:proofErr w:type="gramEnd"/>
                        <w:r w:rsidRPr="00AA2634">
                          <w:rPr>
                            <w:rFonts w:ascii="宋体" w:eastAsia="宋体" w:hAnsi="宋体" w:cs="宋体" w:hint="eastAsia"/>
                            <w:color w:val="000000"/>
                            <w:kern w:val="0"/>
                            <w:sz w:val="19"/>
                            <w:szCs w:val="19"/>
                          </w:rPr>
                          <w:t>技〔2012〕2413号）第二条：国家发展改革委、工信部、财政局、商务部、国家税务总局负责规划布局企业认定工作。</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工信部、财政部、商务部、税务总局</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企业</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01025</w:t>
                        </w:r>
                      </w:p>
                    </w:tc>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发展改革委</w:t>
                        </w:r>
                      </w:p>
                    </w:tc>
                    <w:tc>
                      <w:tcPr>
                        <w:tcW w:w="1453" w:type="dxa"/>
                        <w:vMerge w:val="restart"/>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重要商品年度计划 〔包括卷烟、食盐生</w:t>
                        </w:r>
                        <w:r w:rsidRPr="00AA2634">
                          <w:rPr>
                            <w:rFonts w:ascii="宋体" w:eastAsia="宋体" w:hAnsi="宋体" w:cs="宋体" w:hint="eastAsia"/>
                            <w:color w:val="000000"/>
                            <w:kern w:val="0"/>
                            <w:sz w:val="19"/>
                            <w:szCs w:val="19"/>
                          </w:rPr>
                          <w:lastRenderedPageBreak/>
                          <w:t>产限额年度计划，天然气商品量分配计划，食盐分配调拨计划和干线运输计划，年度烟草专卖品购销储备计划〕 审批</w:t>
                        </w: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1.卷烟生产限额年度计划审批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《中华人民共和国烟草专卖法》第十四条：“省、自治区、直辖市的卷烟、雪茄烟年度总产量计划由国务院计划部门下达”。第九条：“烟叶收购计划由县级以上地方人民政府计划部门根</w:t>
                        </w:r>
                        <w:r w:rsidRPr="00AA2634">
                          <w:rPr>
                            <w:rFonts w:ascii="宋体" w:eastAsia="宋体" w:hAnsi="宋体" w:cs="宋体" w:hint="eastAsia"/>
                            <w:color w:val="000000"/>
                            <w:kern w:val="0"/>
                            <w:sz w:val="19"/>
                            <w:szCs w:val="19"/>
                          </w:rPr>
                          <w:lastRenderedPageBreak/>
                          <w:t>据国务院计划部门下达的计划下达，其他单位和个人不得变更”。第十一条：“省、自治区、直辖市之间的烟叶、复烤烟叶的调拨计划由国务院计划部门下达，省、自治区、直辖市辖区内的烟叶、复烤烟叶的调拨计划由省、自治区、直辖市计划部门下达，其他单位和个人不得变更。烟叶、复烤烟叶的调拨必须签订合同”。</w:t>
                        </w:r>
                        <w:r w:rsidRPr="00AA2634">
                          <w:rPr>
                            <w:rFonts w:ascii="宋体" w:eastAsia="宋体" w:hAnsi="宋体" w:cs="宋体" w:hint="eastAsia"/>
                            <w:color w:val="000000"/>
                            <w:kern w:val="0"/>
                            <w:sz w:val="19"/>
                            <w:szCs w:val="19"/>
                          </w:rPr>
                          <w:br w:type="page"/>
                          <w:t>《中华人民共和国烟草专卖法实施条例》（国务院令第223号）第二十条：“国家储备、出口烟叶的计划和烟叶调拨计划，由国务院计划部门下达”。</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lastRenderedPageBreak/>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行政机关</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2.食盐生产限额年度计划审批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食盐专营办法》（国务院令第197号）第七条：“国家对食盐生产实现指令性计划管理。食盐年度生产计划由国务院计划执行主管部门下达”。第三章第九条：“国家对食盐的分配调拨实行指令性计划管理。食盐年度分配调拨计划，由国务院计划行政主管部门下达”。</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行政机关</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3.食盐分配调拨计划和干线运输计划审批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食盐专营办法》（国务院令第197号）第七条：“国家对食盐生产实现指令性计划管理。食盐年度生产计划由国务院计划执行主管部门下达”。第三章第九条：“国家对食盐的分配调拨实行指令性计划管理。食盐年度分配调拨计划，由国务院计划行政主管部门下达”。</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行政机关</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4.年度烟草专卖品购销储备计划审批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中华人民共和国烟草专卖法》第十四条：“省、自治区、直辖市的卷烟、雪茄烟年度总产量计划由国务院计划部门下达”。第九条：“烟叶收购计划由县级以上地方人民政府计划部门根据国务院计划部门下达的计划下达，其他单位和个人不得变更”。第十一条：“省、自治区、直辖市之间的烟叶、复烤烟叶的调拨计划由国务院计划部门下达，省、自治区、直辖市辖区内的烟叶、复烤烟叶的调拨计划由省、自治区、直辖市计划部门下达，其他单位和个人不得变更。烟叶、复烤烟叶的调拨必须签订合同”。</w:t>
                        </w:r>
                        <w:r w:rsidRPr="00AA2634">
                          <w:rPr>
                            <w:rFonts w:ascii="宋体" w:eastAsia="宋体" w:hAnsi="宋体" w:cs="宋体" w:hint="eastAsia"/>
                            <w:color w:val="000000"/>
                            <w:kern w:val="0"/>
                            <w:sz w:val="19"/>
                            <w:szCs w:val="19"/>
                          </w:rPr>
                          <w:br w:type="page"/>
                          <w:t>《中华人民共和国烟草专卖法实施条例》（国务院令第223号）第二十条：“国家储备、出口烟叶的计划和烟叶调拨计划，由国务院计划部门下达”。</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行政机关</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r w:rsidR="00AA2634" w:rsidRPr="00AA263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jc w:val="left"/>
                          <w:rPr>
                            <w:rFonts w:ascii="ˎ̥" w:eastAsia="宋体" w:hAnsi="ˎ̥" w:cs="宋体"/>
                            <w:color w:val="000000"/>
                            <w:kern w:val="0"/>
                            <w:sz w:val="19"/>
                            <w:szCs w:val="19"/>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5.天然气商品量分配计划审批</w:t>
                        </w:r>
                      </w:p>
                    </w:tc>
                    <w:tc>
                      <w:tcPr>
                        <w:tcW w:w="78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非行政许可审批</w:t>
                        </w:r>
                      </w:p>
                    </w:tc>
                    <w:tc>
                      <w:tcPr>
                        <w:tcW w:w="6358"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ind w:firstLine="420"/>
                          <w:jc w:val="left"/>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《国家计委、国家经委、财政部、石油部关于颁发〈天然气商品量管理暂行办法〉的通知》（</w:t>
                        </w:r>
                        <w:proofErr w:type="gramStart"/>
                        <w:r w:rsidRPr="00AA2634">
                          <w:rPr>
                            <w:rFonts w:ascii="宋体" w:eastAsia="宋体" w:hAnsi="宋体" w:cs="宋体" w:hint="eastAsia"/>
                            <w:color w:val="000000"/>
                            <w:kern w:val="0"/>
                            <w:sz w:val="19"/>
                            <w:szCs w:val="19"/>
                          </w:rPr>
                          <w:t>计燃〔1987〕</w:t>
                        </w:r>
                        <w:proofErr w:type="gramEnd"/>
                        <w:r w:rsidRPr="00AA2634">
                          <w:rPr>
                            <w:rFonts w:ascii="宋体" w:eastAsia="宋体" w:hAnsi="宋体" w:cs="宋体" w:hint="eastAsia"/>
                            <w:color w:val="000000"/>
                            <w:kern w:val="0"/>
                            <w:sz w:val="19"/>
                            <w:szCs w:val="19"/>
                          </w:rPr>
                          <w:t>2001号）附件《天然气商品量管理暂行办法》第五条：“商品气年度用气计划由各用气单位于前一年8月底提出，按隶属关系归口汇总，9月底上报国家计委并抄送石油部。国家计委会同有关部门进行协调后，确定年度分配方案”。</w:t>
                        </w:r>
                      </w:p>
                    </w:tc>
                    <w:tc>
                      <w:tcPr>
                        <w:tcW w:w="934"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无</w:t>
                        </w:r>
                      </w:p>
                    </w:tc>
                    <w:tc>
                      <w:tcPr>
                        <w:tcW w:w="1020"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宋体" w:eastAsia="宋体" w:hAnsi="宋体" w:cs="宋体" w:hint="eastAsia"/>
                            <w:color w:val="000000"/>
                            <w:kern w:val="0"/>
                            <w:sz w:val="19"/>
                            <w:szCs w:val="19"/>
                          </w:rPr>
                          <w:t>供气企业、用气各省</w:t>
                        </w:r>
                      </w:p>
                    </w:tc>
                    <w:tc>
                      <w:tcPr>
                        <w:tcW w:w="995" w:type="dxa"/>
                        <w:tcBorders>
                          <w:top w:val="single" w:sz="4" w:space="0" w:color="auto"/>
                          <w:left w:val="single" w:sz="4" w:space="0" w:color="auto"/>
                          <w:bottom w:val="single" w:sz="4" w:space="0" w:color="auto"/>
                          <w:right w:val="single" w:sz="4" w:space="0" w:color="auto"/>
                        </w:tcBorders>
                        <w:vAlign w:val="center"/>
                        <w:hideMark/>
                      </w:tcPr>
                      <w:p w:rsidR="00AA2634" w:rsidRPr="00AA2634" w:rsidRDefault="00AA2634" w:rsidP="00AA2634">
                        <w:pPr>
                          <w:widowControl/>
                          <w:spacing w:line="20" w:lineRule="atLeast"/>
                          <w:jc w:val="center"/>
                          <w:rPr>
                            <w:rFonts w:ascii="ˎ̥" w:eastAsia="宋体" w:hAnsi="ˎ̥" w:cs="宋体"/>
                            <w:color w:val="000000"/>
                            <w:kern w:val="0"/>
                            <w:sz w:val="19"/>
                            <w:szCs w:val="19"/>
                          </w:rPr>
                        </w:pPr>
                        <w:r w:rsidRPr="00AA2634">
                          <w:rPr>
                            <w:rFonts w:ascii="ˎ̥" w:eastAsia="宋体" w:hAnsi="ˎ̥" w:cs="宋体"/>
                            <w:color w:val="000000"/>
                            <w:kern w:val="0"/>
                            <w:sz w:val="19"/>
                            <w:szCs w:val="19"/>
                          </w:rPr>
                          <w:t> </w:t>
                        </w:r>
                      </w:p>
                    </w:tc>
                  </w:tr>
                </w:tbl>
                <w:p w:rsidR="00AA2634" w:rsidRPr="00AA2634" w:rsidRDefault="00AA2634" w:rsidP="00AA2634">
                  <w:pPr>
                    <w:widowControl/>
                    <w:jc w:val="center"/>
                    <w:rPr>
                      <w:rFonts w:ascii="ˎ̥" w:eastAsia="宋体" w:hAnsi="ˎ̥" w:cs="宋体"/>
                      <w:color w:val="000000"/>
                      <w:kern w:val="0"/>
                      <w:szCs w:val="21"/>
                    </w:rPr>
                  </w:pPr>
                </w:p>
              </w:tc>
            </w:tr>
          </w:tbl>
          <w:p w:rsidR="00AA2634" w:rsidRPr="00AA2634" w:rsidRDefault="00AA2634" w:rsidP="00AA2634">
            <w:pPr>
              <w:widowControl/>
              <w:jc w:val="left"/>
              <w:rPr>
                <w:rFonts w:ascii="ˎ̥" w:eastAsia="宋体" w:hAnsi="ˎ̥" w:cs="宋体"/>
                <w:color w:val="000000"/>
                <w:kern w:val="0"/>
                <w:sz w:val="19"/>
                <w:szCs w:val="19"/>
              </w:rPr>
            </w:pPr>
          </w:p>
        </w:tc>
      </w:tr>
      <w:tr w:rsidR="00AA2634" w:rsidRPr="00AA2634">
        <w:trPr>
          <w:trHeight w:val="390"/>
          <w:tblCellSpacing w:w="0" w:type="dxa"/>
          <w:jc w:val="center"/>
        </w:trPr>
        <w:tc>
          <w:tcPr>
            <w:tcW w:w="0" w:type="auto"/>
            <w:vAlign w:val="center"/>
            <w:hideMark/>
          </w:tcPr>
          <w:p w:rsidR="00AA2634" w:rsidRPr="00AA2634" w:rsidRDefault="00AA2634" w:rsidP="00AA2634">
            <w:pPr>
              <w:widowControl/>
              <w:jc w:val="left"/>
              <w:rPr>
                <w:rFonts w:ascii="ˎ̥" w:eastAsia="宋体" w:hAnsi="ˎ̥" w:cs="宋体"/>
                <w:color w:val="000000"/>
                <w:kern w:val="0"/>
                <w:sz w:val="19"/>
                <w:szCs w:val="19"/>
              </w:rPr>
            </w:pPr>
            <w:r w:rsidRPr="00AA2634">
              <w:rPr>
                <w:rFonts w:ascii="ˎ̥" w:eastAsia="宋体" w:hAnsi="ˎ̥" w:cs="宋体"/>
                <w:color w:val="000000"/>
                <w:kern w:val="0"/>
                <w:sz w:val="19"/>
                <w:szCs w:val="19"/>
              </w:rPr>
              <w:lastRenderedPageBreak/>
              <w:t> </w:t>
            </w:r>
          </w:p>
        </w:tc>
      </w:tr>
    </w:tbl>
    <w:p w:rsidR="00A061ED" w:rsidRDefault="00A061ED"/>
    <w:sectPr w:rsidR="00A061ED" w:rsidSect="00A061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156" w:rsidRDefault="00267156" w:rsidP="00AA2634">
      <w:r>
        <w:separator/>
      </w:r>
    </w:p>
  </w:endnote>
  <w:endnote w:type="continuationSeparator" w:id="0">
    <w:p w:rsidR="00267156" w:rsidRDefault="00267156" w:rsidP="00AA26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ڌ墻 LETTER-SPACING: -1px">
    <w:panose1 w:val="00000000000000000000"/>
    <w:charset w:val="86"/>
    <w:family w:val="roman"/>
    <w:notTrueType/>
    <w:pitch w:val="default"/>
    <w:sig w:usb0="00000001" w:usb1="080E0000" w:usb2="00000010" w:usb3="00000000" w:csb0="00040000" w:csb1="00000000"/>
  </w:font>
  <w:font w:name="??">
    <w:panose1 w:val="00000000000000000000"/>
    <w:charset w:val="00"/>
    <w:family w:val="roman"/>
    <w:notTrueType/>
    <w:pitch w:val="default"/>
    <w:sig w:usb0="00000000" w:usb1="00000000" w:usb2="00000000" w:usb3="00000000" w:csb0="00000000" w:csb1="00000000"/>
  </w:font>
  <w:font w:name="̥_GB2312">
    <w:panose1 w:val="00000000000000000000"/>
    <w:charset w:val="00"/>
    <w:family w:val="roman"/>
    <w:notTrueType/>
    <w:pitch w:val="default"/>
    <w:sig w:usb0="00000000" w:usb1="00000000" w:usb2="00000000" w:usb3="00000000" w:csb0="00000000" w:csb1="00000000"/>
  </w:font>
  <w:font w:name="ڌ半">
    <w:panose1 w:val="00000000000000000000"/>
    <w:charset w:val="86"/>
    <w:family w:val="roman"/>
    <w:notTrueType/>
    <w:pitch w:val="default"/>
    <w:sig w:usb0="00000001" w:usb1="080E0000" w:usb2="00000010" w:usb3="00000000" w:csb0="00040000" w:csb1="00000000"/>
  </w:font>
  <w:font w:name="̥">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156" w:rsidRDefault="00267156" w:rsidP="00AA2634">
      <w:r>
        <w:separator/>
      </w:r>
    </w:p>
  </w:footnote>
  <w:footnote w:type="continuationSeparator" w:id="0">
    <w:p w:rsidR="00267156" w:rsidRDefault="00267156" w:rsidP="00AA26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2634"/>
    <w:rsid w:val="001902DA"/>
    <w:rsid w:val="00267156"/>
    <w:rsid w:val="00A061ED"/>
    <w:rsid w:val="00AA2634"/>
    <w:rsid w:val="00C34E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26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2634"/>
    <w:rPr>
      <w:sz w:val="18"/>
      <w:szCs w:val="18"/>
    </w:rPr>
  </w:style>
  <w:style w:type="paragraph" w:styleId="a4">
    <w:name w:val="footer"/>
    <w:basedOn w:val="a"/>
    <w:link w:val="Char0"/>
    <w:uiPriority w:val="99"/>
    <w:semiHidden/>
    <w:unhideWhenUsed/>
    <w:rsid w:val="00AA26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2634"/>
    <w:rPr>
      <w:sz w:val="18"/>
      <w:szCs w:val="18"/>
    </w:rPr>
  </w:style>
  <w:style w:type="character" w:styleId="a5">
    <w:name w:val="Hyperlink"/>
    <w:basedOn w:val="a0"/>
    <w:uiPriority w:val="99"/>
    <w:semiHidden/>
    <w:unhideWhenUsed/>
    <w:rsid w:val="00AA2634"/>
    <w:rPr>
      <w:strike w:val="0"/>
      <w:dstrike w:val="0"/>
      <w:color w:val="000000"/>
      <w:u w:val="none"/>
      <w:effect w:val="none"/>
    </w:rPr>
  </w:style>
  <w:style w:type="character" w:styleId="a6">
    <w:name w:val="FollowedHyperlink"/>
    <w:basedOn w:val="a0"/>
    <w:uiPriority w:val="99"/>
    <w:semiHidden/>
    <w:unhideWhenUsed/>
    <w:rsid w:val="00AA2634"/>
    <w:rPr>
      <w:strike w:val="0"/>
      <w:dstrike w:val="0"/>
      <w:color w:val="000000"/>
      <w:u w:val="none"/>
      <w:effect w:val="none"/>
    </w:rPr>
  </w:style>
  <w:style w:type="paragraph" w:styleId="a7">
    <w:name w:val="Normal (Web)"/>
    <w:basedOn w:val="a"/>
    <w:uiPriority w:val="99"/>
    <w:unhideWhenUsed/>
    <w:rsid w:val="00AA2634"/>
    <w:pPr>
      <w:widowControl/>
      <w:spacing w:before="100" w:beforeAutospacing="1" w:after="100" w:afterAutospacing="1"/>
      <w:jc w:val="left"/>
    </w:pPr>
    <w:rPr>
      <w:rFonts w:ascii="ˎ̥" w:eastAsia="宋体" w:hAnsi="ˎ̥" w:cs="宋体"/>
      <w:kern w:val="0"/>
      <w:sz w:val="24"/>
      <w:szCs w:val="24"/>
    </w:rPr>
  </w:style>
  <w:style w:type="paragraph" w:customStyle="1" w:styleId="tit">
    <w:name w:val="tit"/>
    <w:basedOn w:val="a"/>
    <w:rsid w:val="00AA2634"/>
    <w:pPr>
      <w:widowControl/>
      <w:spacing w:before="100" w:beforeAutospacing="1" w:after="100" w:afterAutospacing="1"/>
      <w:jc w:val="left"/>
    </w:pPr>
    <w:rPr>
      <w:rFonts w:ascii="ˎ̥" w:eastAsia="宋体" w:hAnsi="ˎ̥" w:cs="宋体"/>
      <w:color w:val="D80001"/>
      <w:kern w:val="0"/>
      <w:sz w:val="19"/>
      <w:szCs w:val="19"/>
    </w:rPr>
  </w:style>
  <w:style w:type="paragraph" w:customStyle="1" w:styleId="tit1">
    <w:name w:val="tit1"/>
    <w:basedOn w:val="a"/>
    <w:rsid w:val="00AA2634"/>
    <w:pPr>
      <w:widowControl/>
      <w:spacing w:before="100" w:beforeAutospacing="1" w:after="100" w:afterAutospacing="1"/>
      <w:jc w:val="left"/>
    </w:pPr>
    <w:rPr>
      <w:rFonts w:ascii="ˎ̥" w:eastAsia="宋体" w:hAnsi="ˎ̥" w:cs="宋体"/>
      <w:color w:val="040873"/>
      <w:kern w:val="0"/>
      <w:sz w:val="19"/>
      <w:szCs w:val="19"/>
    </w:rPr>
  </w:style>
  <w:style w:type="paragraph" w:customStyle="1" w:styleId="tit2">
    <w:name w:val="tit2"/>
    <w:basedOn w:val="a"/>
    <w:rsid w:val="00AA2634"/>
    <w:pPr>
      <w:widowControl/>
      <w:spacing w:before="100" w:beforeAutospacing="1" w:after="100" w:afterAutospacing="1"/>
      <w:jc w:val="left"/>
    </w:pPr>
    <w:rPr>
      <w:rFonts w:ascii="ˎ̥" w:eastAsia="宋体" w:hAnsi="ˎ̥" w:cs="宋体"/>
      <w:color w:val="000000"/>
      <w:kern w:val="0"/>
      <w:sz w:val="19"/>
      <w:szCs w:val="19"/>
    </w:rPr>
  </w:style>
  <w:style w:type="paragraph" w:customStyle="1" w:styleId="tit3">
    <w:name w:val="tit3"/>
    <w:basedOn w:val="a"/>
    <w:rsid w:val="00AA2634"/>
    <w:pPr>
      <w:widowControl/>
      <w:spacing w:before="100" w:beforeAutospacing="1" w:after="100" w:afterAutospacing="1"/>
      <w:jc w:val="left"/>
    </w:pPr>
    <w:rPr>
      <w:rFonts w:ascii="ˎ̥" w:eastAsia="宋体" w:hAnsi="ˎ̥" w:cs="宋体"/>
      <w:color w:val="000000"/>
      <w:kern w:val="0"/>
      <w:sz w:val="19"/>
      <w:szCs w:val="19"/>
    </w:rPr>
  </w:style>
  <w:style w:type="paragraph" w:customStyle="1" w:styleId="tit4">
    <w:name w:val="tit4"/>
    <w:basedOn w:val="a"/>
    <w:rsid w:val="00AA2634"/>
    <w:pPr>
      <w:widowControl/>
      <w:spacing w:before="100" w:beforeAutospacing="1" w:after="100" w:afterAutospacing="1"/>
      <w:jc w:val="left"/>
    </w:pPr>
    <w:rPr>
      <w:rFonts w:ascii="ˎ̥" w:eastAsia="宋体" w:hAnsi="ˎ̥" w:cs="宋体"/>
      <w:color w:val="C70100"/>
      <w:kern w:val="0"/>
      <w:sz w:val="19"/>
      <w:szCs w:val="19"/>
    </w:rPr>
  </w:style>
  <w:style w:type="paragraph" w:customStyle="1" w:styleId="tit5">
    <w:name w:val="tit5"/>
    <w:basedOn w:val="a"/>
    <w:rsid w:val="00AA2634"/>
    <w:pPr>
      <w:widowControl/>
      <w:spacing w:before="100" w:beforeAutospacing="1" w:after="100" w:afterAutospacing="1"/>
      <w:jc w:val="left"/>
    </w:pPr>
    <w:rPr>
      <w:rFonts w:ascii="ˎ̥" w:eastAsia="宋体" w:hAnsi="ˎ̥" w:cs="宋体"/>
      <w:color w:val="000000"/>
      <w:kern w:val="0"/>
      <w:sz w:val="20"/>
      <w:szCs w:val="20"/>
    </w:rPr>
  </w:style>
  <w:style w:type="paragraph" w:customStyle="1" w:styleId="tit6">
    <w:name w:val="tit6"/>
    <w:basedOn w:val="a"/>
    <w:rsid w:val="00AA2634"/>
    <w:pPr>
      <w:widowControl/>
      <w:spacing w:before="100" w:beforeAutospacing="1" w:after="100" w:afterAutospacing="1"/>
      <w:jc w:val="left"/>
    </w:pPr>
    <w:rPr>
      <w:rFonts w:ascii="ˎ̥" w:eastAsia="宋体" w:hAnsi="ˎ̥" w:cs="宋体"/>
      <w:color w:val="000000"/>
      <w:kern w:val="0"/>
      <w:sz w:val="20"/>
      <w:szCs w:val="20"/>
    </w:rPr>
  </w:style>
  <w:style w:type="paragraph" w:customStyle="1" w:styleId="tit7">
    <w:name w:val="tit7"/>
    <w:basedOn w:val="a"/>
    <w:rsid w:val="00AA2634"/>
    <w:pPr>
      <w:widowControl/>
      <w:spacing w:before="100" w:beforeAutospacing="1" w:after="100" w:afterAutospacing="1"/>
      <w:jc w:val="left"/>
    </w:pPr>
    <w:rPr>
      <w:rFonts w:ascii="ˎ̥" w:eastAsia="宋体" w:hAnsi="ˎ̥" w:cs="宋体"/>
      <w:b/>
      <w:bCs/>
      <w:color w:val="FFFFFF"/>
      <w:kern w:val="0"/>
      <w:sz w:val="20"/>
      <w:szCs w:val="20"/>
    </w:rPr>
  </w:style>
  <w:style w:type="paragraph" w:customStyle="1" w:styleId="tit777">
    <w:name w:val="tit777"/>
    <w:basedOn w:val="a"/>
    <w:rsid w:val="00AA2634"/>
    <w:pPr>
      <w:widowControl/>
      <w:spacing w:before="100" w:beforeAutospacing="1" w:after="100" w:afterAutospacing="1"/>
      <w:jc w:val="left"/>
    </w:pPr>
    <w:rPr>
      <w:rFonts w:ascii="ˎ̥" w:eastAsia="宋体" w:hAnsi="ˎ̥" w:cs="宋体"/>
      <w:b/>
      <w:bCs/>
      <w:color w:val="A00701"/>
      <w:kern w:val="0"/>
      <w:sz w:val="20"/>
      <w:szCs w:val="20"/>
    </w:rPr>
  </w:style>
  <w:style w:type="paragraph" w:customStyle="1" w:styleId="tit8">
    <w:name w:val="tit8"/>
    <w:basedOn w:val="a"/>
    <w:rsid w:val="00AA2634"/>
    <w:pPr>
      <w:widowControl/>
      <w:spacing w:before="100" w:beforeAutospacing="1" w:after="100" w:afterAutospacing="1"/>
      <w:jc w:val="left"/>
    </w:pPr>
    <w:rPr>
      <w:rFonts w:ascii="ˎ̥" w:eastAsia="宋体" w:hAnsi="ˎ̥" w:cs="宋体"/>
      <w:color w:val="150075"/>
      <w:kern w:val="0"/>
      <w:sz w:val="19"/>
      <w:szCs w:val="19"/>
    </w:rPr>
  </w:style>
  <w:style w:type="paragraph" w:customStyle="1" w:styleId="tit9">
    <w:name w:val="tit9"/>
    <w:basedOn w:val="a"/>
    <w:rsid w:val="00AA2634"/>
    <w:pPr>
      <w:widowControl/>
      <w:spacing w:before="100" w:beforeAutospacing="1" w:after="100" w:afterAutospacing="1"/>
      <w:jc w:val="left"/>
    </w:pPr>
    <w:rPr>
      <w:rFonts w:ascii="ˎ̥" w:eastAsia="宋体" w:hAnsi="ˎ̥" w:cs="宋体"/>
      <w:kern w:val="0"/>
      <w:sz w:val="20"/>
      <w:szCs w:val="20"/>
    </w:rPr>
  </w:style>
  <w:style w:type="paragraph" w:customStyle="1" w:styleId="tit10">
    <w:name w:val="tit10"/>
    <w:basedOn w:val="a"/>
    <w:rsid w:val="00AA2634"/>
    <w:pPr>
      <w:widowControl/>
      <w:spacing w:before="100" w:beforeAutospacing="1" w:after="100" w:afterAutospacing="1"/>
      <w:jc w:val="left"/>
    </w:pPr>
    <w:rPr>
      <w:rFonts w:ascii="ˎ̥" w:eastAsia="宋体" w:hAnsi="ˎ̥" w:cs="宋体"/>
      <w:color w:val="9F0B00"/>
      <w:kern w:val="0"/>
      <w:sz w:val="20"/>
      <w:szCs w:val="20"/>
    </w:rPr>
  </w:style>
  <w:style w:type="paragraph" w:customStyle="1" w:styleId="tit11">
    <w:name w:val="tit11"/>
    <w:basedOn w:val="a"/>
    <w:rsid w:val="00AA2634"/>
    <w:pPr>
      <w:widowControl/>
      <w:spacing w:before="100" w:beforeAutospacing="1" w:after="100" w:afterAutospacing="1"/>
      <w:jc w:val="left"/>
    </w:pPr>
    <w:rPr>
      <w:rFonts w:ascii="ˎ̥" w:eastAsia="宋体" w:hAnsi="ˎ̥" w:cs="宋体"/>
      <w:color w:val="000000"/>
      <w:kern w:val="0"/>
      <w:sz w:val="20"/>
      <w:szCs w:val="20"/>
    </w:rPr>
  </w:style>
  <w:style w:type="paragraph" w:customStyle="1" w:styleId="tit11x">
    <w:name w:val="tit11x"/>
    <w:basedOn w:val="a"/>
    <w:rsid w:val="00AA2634"/>
    <w:pPr>
      <w:widowControl/>
      <w:spacing w:before="100" w:beforeAutospacing="1" w:after="100" w:afterAutospacing="1"/>
      <w:jc w:val="left"/>
    </w:pPr>
    <w:rPr>
      <w:rFonts w:ascii="ˎ̥" w:eastAsia="宋体" w:hAnsi="ˎ̥" w:cs="宋体"/>
      <w:color w:val="000000"/>
      <w:kern w:val="0"/>
      <w:sz w:val="20"/>
      <w:szCs w:val="20"/>
    </w:rPr>
  </w:style>
  <w:style w:type="paragraph" w:customStyle="1" w:styleId="tit12">
    <w:name w:val="tit12"/>
    <w:basedOn w:val="a"/>
    <w:rsid w:val="00AA2634"/>
    <w:pPr>
      <w:widowControl/>
      <w:spacing w:before="100" w:beforeAutospacing="1" w:after="100" w:afterAutospacing="1"/>
      <w:jc w:val="left"/>
    </w:pPr>
    <w:rPr>
      <w:rFonts w:ascii="ˎ̥" w:eastAsia="宋体" w:hAnsi="ˎ̥" w:cs="宋体"/>
      <w:b/>
      <w:bCs/>
      <w:color w:val="000000"/>
      <w:kern w:val="0"/>
      <w:sz w:val="19"/>
      <w:szCs w:val="19"/>
    </w:rPr>
  </w:style>
  <w:style w:type="paragraph" w:customStyle="1" w:styleId="tit13">
    <w:name w:val="tit13"/>
    <w:basedOn w:val="a"/>
    <w:rsid w:val="00AA2634"/>
    <w:pPr>
      <w:widowControl/>
      <w:spacing w:before="100" w:beforeAutospacing="1" w:after="100" w:afterAutospacing="1"/>
      <w:jc w:val="left"/>
    </w:pPr>
    <w:rPr>
      <w:rFonts w:ascii="ˎ̥" w:eastAsia="宋体" w:hAnsi="ˎ̥" w:cs="宋体"/>
      <w:color w:val="032177"/>
      <w:kern w:val="0"/>
      <w:sz w:val="20"/>
      <w:szCs w:val="20"/>
    </w:rPr>
  </w:style>
  <w:style w:type="paragraph" w:customStyle="1" w:styleId="tit14">
    <w:name w:val="tit14"/>
    <w:basedOn w:val="a"/>
    <w:rsid w:val="00AA2634"/>
    <w:pPr>
      <w:widowControl/>
      <w:spacing w:before="100" w:beforeAutospacing="1" w:after="100" w:afterAutospacing="1"/>
      <w:jc w:val="left"/>
    </w:pPr>
    <w:rPr>
      <w:rFonts w:ascii="ˎ̥" w:eastAsia="宋体" w:hAnsi="ˎ̥" w:cs="宋体"/>
      <w:color w:val="0426AB"/>
      <w:kern w:val="0"/>
      <w:sz w:val="20"/>
      <w:szCs w:val="20"/>
    </w:rPr>
  </w:style>
  <w:style w:type="paragraph" w:customStyle="1" w:styleId="tit15">
    <w:name w:val="tit15"/>
    <w:basedOn w:val="a"/>
    <w:rsid w:val="00AA2634"/>
    <w:pPr>
      <w:widowControl/>
      <w:spacing w:before="100" w:beforeAutospacing="1" w:after="100" w:afterAutospacing="1"/>
      <w:jc w:val="left"/>
    </w:pPr>
    <w:rPr>
      <w:rFonts w:ascii="ˎ̥" w:eastAsia="宋体" w:hAnsi="ˎ̥" w:cs="宋体"/>
      <w:b/>
      <w:bCs/>
      <w:color w:val="000000"/>
      <w:kern w:val="0"/>
      <w:sz w:val="20"/>
      <w:szCs w:val="20"/>
    </w:rPr>
  </w:style>
  <w:style w:type="paragraph" w:customStyle="1" w:styleId="tit16">
    <w:name w:val="tit16"/>
    <w:basedOn w:val="a"/>
    <w:rsid w:val="00AA2634"/>
    <w:pPr>
      <w:widowControl/>
      <w:spacing w:before="100" w:beforeAutospacing="1" w:after="100" w:afterAutospacing="1"/>
      <w:jc w:val="left"/>
    </w:pPr>
    <w:rPr>
      <w:rFonts w:ascii="ˎ̥" w:eastAsia="宋体" w:hAnsi="ˎ̥" w:cs="宋体"/>
      <w:color w:val="00234B"/>
      <w:kern w:val="0"/>
      <w:sz w:val="19"/>
      <w:szCs w:val="19"/>
    </w:rPr>
  </w:style>
  <w:style w:type="paragraph" w:customStyle="1" w:styleId="tit166">
    <w:name w:val="tit166"/>
    <w:basedOn w:val="a"/>
    <w:rsid w:val="00AA2634"/>
    <w:pPr>
      <w:widowControl/>
      <w:spacing w:before="100" w:beforeAutospacing="1" w:after="100" w:afterAutospacing="1"/>
      <w:jc w:val="left"/>
    </w:pPr>
    <w:rPr>
      <w:rFonts w:ascii="ˎ̥" w:eastAsia="宋体" w:hAnsi="ˎ̥" w:cs="宋体"/>
      <w:color w:val="000000"/>
      <w:kern w:val="0"/>
      <w:sz w:val="19"/>
      <w:szCs w:val="19"/>
    </w:rPr>
  </w:style>
  <w:style w:type="paragraph" w:customStyle="1" w:styleId="tit17">
    <w:name w:val="tit17"/>
    <w:basedOn w:val="a"/>
    <w:rsid w:val="00AA2634"/>
    <w:pPr>
      <w:widowControl/>
      <w:spacing w:before="100" w:beforeAutospacing="1" w:after="100" w:afterAutospacing="1"/>
      <w:jc w:val="left"/>
    </w:pPr>
    <w:rPr>
      <w:rFonts w:ascii="ˎ̥" w:eastAsia="宋体" w:hAnsi="ˎ̥" w:cs="宋体"/>
      <w:color w:val="00234B"/>
      <w:kern w:val="0"/>
      <w:sz w:val="24"/>
      <w:szCs w:val="24"/>
    </w:rPr>
  </w:style>
  <w:style w:type="paragraph" w:customStyle="1" w:styleId="tit18">
    <w:name w:val="tit18"/>
    <w:basedOn w:val="a"/>
    <w:rsid w:val="00AA2634"/>
    <w:pPr>
      <w:widowControl/>
      <w:spacing w:before="100" w:beforeAutospacing="1" w:after="100" w:afterAutospacing="1"/>
      <w:jc w:val="left"/>
    </w:pPr>
    <w:rPr>
      <w:rFonts w:ascii="ˎ̥" w:eastAsia="宋体" w:hAnsi="ˎ̥" w:cs="宋体"/>
      <w:b/>
      <w:bCs/>
      <w:color w:val="FFFFFF"/>
      <w:kern w:val="0"/>
      <w:sz w:val="20"/>
      <w:szCs w:val="20"/>
    </w:rPr>
  </w:style>
  <w:style w:type="paragraph" w:customStyle="1" w:styleId="tit19">
    <w:name w:val="tit19"/>
    <w:basedOn w:val="a"/>
    <w:rsid w:val="00AA2634"/>
    <w:pPr>
      <w:widowControl/>
      <w:spacing w:before="100" w:beforeAutospacing="1" w:after="100" w:afterAutospacing="1"/>
      <w:jc w:val="left"/>
    </w:pPr>
    <w:rPr>
      <w:rFonts w:ascii="ˎ̥" w:eastAsia="宋体" w:hAnsi="ˎ̥" w:cs="宋体"/>
      <w:color w:val="000000"/>
      <w:kern w:val="0"/>
      <w:sz w:val="20"/>
      <w:szCs w:val="20"/>
    </w:rPr>
  </w:style>
  <w:style w:type="paragraph" w:customStyle="1" w:styleId="tit20">
    <w:name w:val="tit20"/>
    <w:basedOn w:val="a"/>
    <w:rsid w:val="00AA2634"/>
    <w:pPr>
      <w:widowControl/>
      <w:spacing w:before="100" w:beforeAutospacing="1" w:after="100" w:afterAutospacing="1"/>
      <w:jc w:val="left"/>
    </w:pPr>
    <w:rPr>
      <w:rFonts w:ascii="ˎ̥" w:eastAsia="宋体" w:hAnsi="ˎ̥" w:cs="宋体"/>
      <w:b/>
      <w:bCs/>
      <w:color w:val="000000"/>
      <w:kern w:val="0"/>
      <w:sz w:val="19"/>
      <w:szCs w:val="19"/>
    </w:rPr>
  </w:style>
  <w:style w:type="paragraph" w:customStyle="1" w:styleId="tit21">
    <w:name w:val="tit21"/>
    <w:basedOn w:val="a"/>
    <w:rsid w:val="00AA2634"/>
    <w:pPr>
      <w:widowControl/>
      <w:spacing w:before="100" w:beforeAutospacing="1" w:after="100" w:afterAutospacing="1"/>
      <w:jc w:val="left"/>
    </w:pPr>
    <w:rPr>
      <w:rFonts w:ascii="ˎ̥" w:eastAsia="宋体" w:hAnsi="ˎ̥" w:cs="宋体"/>
      <w:color w:val="000000"/>
      <w:kern w:val="0"/>
      <w:sz w:val="17"/>
      <w:szCs w:val="17"/>
    </w:rPr>
  </w:style>
  <w:style w:type="paragraph" w:customStyle="1" w:styleId="tit22">
    <w:name w:val="tit22"/>
    <w:basedOn w:val="a"/>
    <w:rsid w:val="00AA2634"/>
    <w:pPr>
      <w:widowControl/>
      <w:spacing w:before="100" w:beforeAutospacing="1" w:after="100" w:afterAutospacing="1"/>
      <w:jc w:val="left"/>
    </w:pPr>
    <w:rPr>
      <w:rFonts w:ascii="ˎ̥" w:eastAsia="宋体" w:hAnsi="ˎ̥" w:cs="宋体"/>
      <w:b/>
      <w:bCs/>
      <w:color w:val="FFFFFF"/>
      <w:kern w:val="0"/>
      <w:sz w:val="20"/>
      <w:szCs w:val="20"/>
    </w:rPr>
  </w:style>
  <w:style w:type="paragraph" w:customStyle="1" w:styleId="tit22aa">
    <w:name w:val="tit22aa"/>
    <w:basedOn w:val="a"/>
    <w:rsid w:val="00AA2634"/>
    <w:pPr>
      <w:widowControl/>
      <w:spacing w:before="100" w:beforeAutospacing="1" w:after="100" w:afterAutospacing="1"/>
      <w:jc w:val="left"/>
    </w:pPr>
    <w:rPr>
      <w:rFonts w:ascii="ˎ̥" w:eastAsia="宋体" w:hAnsi="ˎ̥" w:cs="宋体"/>
      <w:b/>
      <w:bCs/>
      <w:color w:val="FFFFFF"/>
      <w:kern w:val="0"/>
      <w:sz w:val="20"/>
      <w:szCs w:val="20"/>
    </w:rPr>
  </w:style>
  <w:style w:type="paragraph" w:customStyle="1" w:styleId="tit23">
    <w:name w:val="tit23"/>
    <w:basedOn w:val="a"/>
    <w:rsid w:val="00AA2634"/>
    <w:pPr>
      <w:widowControl/>
      <w:spacing w:before="100" w:beforeAutospacing="1" w:after="100" w:afterAutospacing="1"/>
      <w:jc w:val="left"/>
    </w:pPr>
    <w:rPr>
      <w:rFonts w:ascii="ˎ̥" w:eastAsia="宋体" w:hAnsi="ˎ̥" w:cs="宋体"/>
      <w:color w:val="000000"/>
      <w:kern w:val="0"/>
      <w:sz w:val="20"/>
      <w:szCs w:val="20"/>
    </w:rPr>
  </w:style>
  <w:style w:type="paragraph" w:customStyle="1" w:styleId="tit24">
    <w:name w:val="tit24"/>
    <w:basedOn w:val="a"/>
    <w:rsid w:val="00AA2634"/>
    <w:pPr>
      <w:widowControl/>
      <w:spacing w:before="100" w:beforeAutospacing="1" w:after="100" w:afterAutospacing="1"/>
      <w:jc w:val="left"/>
    </w:pPr>
    <w:rPr>
      <w:rFonts w:ascii="ˎ̥" w:eastAsia="宋体" w:hAnsi="ˎ̥" w:cs="宋体"/>
      <w:color w:val="848484"/>
      <w:kern w:val="0"/>
      <w:sz w:val="17"/>
      <w:szCs w:val="17"/>
    </w:rPr>
  </w:style>
  <w:style w:type="paragraph" w:customStyle="1" w:styleId="tit25">
    <w:name w:val="tit25"/>
    <w:basedOn w:val="a"/>
    <w:rsid w:val="00AA2634"/>
    <w:pPr>
      <w:widowControl/>
      <w:spacing w:before="100" w:beforeAutospacing="1" w:after="100" w:afterAutospacing="1"/>
      <w:jc w:val="left"/>
    </w:pPr>
    <w:rPr>
      <w:rFonts w:ascii="ˎ̥" w:eastAsia="宋体" w:hAnsi="ˎ̥" w:cs="宋体"/>
      <w:color w:val="000000"/>
      <w:spacing w:val="14"/>
      <w:kern w:val="0"/>
      <w:sz w:val="17"/>
      <w:szCs w:val="17"/>
    </w:rPr>
  </w:style>
  <w:style w:type="paragraph" w:customStyle="1" w:styleId="tit26">
    <w:name w:val="tit26"/>
    <w:basedOn w:val="a"/>
    <w:rsid w:val="00AA2634"/>
    <w:pPr>
      <w:widowControl/>
      <w:spacing w:before="100" w:beforeAutospacing="1" w:after="100" w:afterAutospacing="1"/>
      <w:jc w:val="left"/>
    </w:pPr>
    <w:rPr>
      <w:rFonts w:ascii="ˎ̥" w:eastAsia="宋体" w:hAnsi="ˎ̥" w:cs="宋体"/>
      <w:color w:val="1A5EBB"/>
      <w:spacing w:val="14"/>
      <w:kern w:val="0"/>
      <w:sz w:val="17"/>
      <w:szCs w:val="17"/>
    </w:rPr>
  </w:style>
  <w:style w:type="paragraph" w:customStyle="1" w:styleId="titsjbak">
    <w:name w:val="titsjbak"/>
    <w:basedOn w:val="a"/>
    <w:rsid w:val="00AA2634"/>
    <w:pPr>
      <w:widowControl/>
      <w:spacing w:before="100" w:beforeAutospacing="1" w:after="100" w:afterAutospacing="1" w:line="480" w:lineRule="auto"/>
      <w:jc w:val="left"/>
    </w:pPr>
    <w:rPr>
      <w:rFonts w:ascii="ˎ̥" w:eastAsia="宋体" w:hAnsi="ˎ̥" w:cs="宋体"/>
      <w:color w:val="000000"/>
      <w:spacing w:val="14"/>
      <w:kern w:val="0"/>
      <w:sz w:val="20"/>
      <w:szCs w:val="20"/>
    </w:rPr>
  </w:style>
  <w:style w:type="paragraph" w:customStyle="1" w:styleId="titsj1">
    <w:name w:val="titsj1"/>
    <w:basedOn w:val="a"/>
    <w:rsid w:val="00AA2634"/>
    <w:pPr>
      <w:widowControl/>
      <w:spacing w:before="100" w:beforeAutospacing="1" w:after="100" w:afterAutospacing="1"/>
      <w:jc w:val="left"/>
    </w:pPr>
    <w:rPr>
      <w:rFonts w:ascii="ˎ̥" w:eastAsia="宋体" w:hAnsi="ˎ̥" w:cs="宋体"/>
      <w:b/>
      <w:bCs/>
      <w:color w:val="000000"/>
      <w:spacing w:val="14"/>
      <w:kern w:val="0"/>
      <w:sz w:val="26"/>
      <w:szCs w:val="26"/>
    </w:rPr>
  </w:style>
  <w:style w:type="paragraph" w:customStyle="1" w:styleId="tpxw">
    <w:name w:val="tpxw"/>
    <w:basedOn w:val="a"/>
    <w:rsid w:val="00AA2634"/>
    <w:pPr>
      <w:widowControl/>
      <w:spacing w:before="100" w:beforeAutospacing="1" w:after="100" w:afterAutospacing="1"/>
      <w:jc w:val="left"/>
    </w:pPr>
    <w:rPr>
      <w:rFonts w:ascii="ˎ̥" w:eastAsia="宋体" w:hAnsi="ˎ̥" w:cs="宋体"/>
      <w:b/>
      <w:bCs/>
      <w:color w:val="2B69BE"/>
      <w:kern w:val="0"/>
      <w:sz w:val="23"/>
      <w:szCs w:val="23"/>
    </w:rPr>
  </w:style>
  <w:style w:type="paragraph" w:customStyle="1" w:styleId="tpxwzz">
    <w:name w:val="tpxwzz"/>
    <w:basedOn w:val="a"/>
    <w:rsid w:val="00AA2634"/>
    <w:pPr>
      <w:widowControl/>
      <w:spacing w:before="100" w:beforeAutospacing="1" w:after="100" w:afterAutospacing="1"/>
      <w:jc w:val="left"/>
    </w:pPr>
    <w:rPr>
      <w:rFonts w:ascii="ˎ̥" w:eastAsia="宋体" w:hAnsi="ˎ̥" w:cs="宋体"/>
      <w:b/>
      <w:bCs/>
      <w:color w:val="FFFFFF"/>
      <w:kern w:val="0"/>
      <w:szCs w:val="21"/>
    </w:rPr>
  </w:style>
  <w:style w:type="paragraph" w:customStyle="1" w:styleId="xwzx">
    <w:name w:val="xwzx"/>
    <w:basedOn w:val="a"/>
    <w:rsid w:val="00AA2634"/>
    <w:pPr>
      <w:widowControl/>
      <w:spacing w:before="100" w:beforeAutospacing="1" w:after="100" w:afterAutospacing="1"/>
      <w:jc w:val="left"/>
    </w:pPr>
    <w:rPr>
      <w:rFonts w:ascii="ˎ̥" w:eastAsia="宋体" w:hAnsi="ˎ̥" w:cs="宋体"/>
      <w:color w:val="00217B"/>
      <w:kern w:val="0"/>
      <w:sz w:val="17"/>
      <w:szCs w:val="17"/>
    </w:rPr>
  </w:style>
  <w:style w:type="paragraph" w:customStyle="1" w:styleId="news">
    <w:name w:val="news"/>
    <w:basedOn w:val="a"/>
    <w:rsid w:val="00AA2634"/>
    <w:pPr>
      <w:widowControl/>
      <w:spacing w:before="100" w:beforeAutospacing="1" w:after="100" w:afterAutospacing="1"/>
      <w:jc w:val="left"/>
    </w:pPr>
    <w:rPr>
      <w:rFonts w:ascii="ˎ̥" w:eastAsia="宋体" w:hAnsi="ˎ̥" w:cs="宋体"/>
      <w:b/>
      <w:bCs/>
      <w:color w:val="FFFFFF"/>
      <w:kern w:val="0"/>
      <w:sz w:val="23"/>
      <w:szCs w:val="23"/>
    </w:rPr>
  </w:style>
  <w:style w:type="paragraph" w:customStyle="1" w:styleId="ztzl">
    <w:name w:val="ztzl"/>
    <w:basedOn w:val="a"/>
    <w:rsid w:val="00AA2634"/>
    <w:pPr>
      <w:widowControl/>
      <w:spacing w:before="100" w:beforeAutospacing="1" w:after="100" w:afterAutospacing="1"/>
      <w:jc w:val="left"/>
    </w:pPr>
    <w:rPr>
      <w:rFonts w:ascii="ˎ̥" w:eastAsia="宋体" w:hAnsi="ˎ̥" w:cs="宋体"/>
      <w:color w:val="316AC1"/>
      <w:kern w:val="0"/>
      <w:sz w:val="20"/>
      <w:szCs w:val="20"/>
    </w:rPr>
  </w:style>
  <w:style w:type="paragraph" w:customStyle="1" w:styleId="dbt">
    <w:name w:val="dbt"/>
    <w:basedOn w:val="a"/>
    <w:rsid w:val="00AA2634"/>
    <w:pPr>
      <w:widowControl/>
      <w:spacing w:before="100" w:beforeAutospacing="1" w:after="100" w:afterAutospacing="1"/>
      <w:jc w:val="left"/>
    </w:pPr>
    <w:rPr>
      <w:rFonts w:ascii="ˎ̥" w:eastAsia="宋体" w:hAnsi="ˎ̥" w:cs="宋体"/>
      <w:b/>
      <w:bCs/>
      <w:color w:val="9F0014"/>
      <w:kern w:val="0"/>
      <w:sz w:val="27"/>
      <w:szCs w:val="27"/>
    </w:rPr>
  </w:style>
  <w:style w:type="paragraph" w:customStyle="1" w:styleId="dbt1">
    <w:name w:val="dbt1"/>
    <w:basedOn w:val="a"/>
    <w:rsid w:val="00AA2634"/>
    <w:pPr>
      <w:widowControl/>
      <w:spacing w:before="100" w:beforeAutospacing="1" w:after="100" w:afterAutospacing="1"/>
      <w:jc w:val="left"/>
    </w:pPr>
    <w:rPr>
      <w:rFonts w:ascii="ˎ̥" w:eastAsia="宋体" w:hAnsi="ˎ̥" w:cs="宋体"/>
      <w:color w:val="00217B"/>
      <w:kern w:val="0"/>
      <w:sz w:val="20"/>
      <w:szCs w:val="20"/>
    </w:rPr>
  </w:style>
  <w:style w:type="paragraph" w:customStyle="1" w:styleId="dbt2">
    <w:name w:val="dbt2"/>
    <w:basedOn w:val="a"/>
    <w:rsid w:val="00AA2634"/>
    <w:pPr>
      <w:widowControl/>
      <w:spacing w:before="100" w:beforeAutospacing="1" w:after="100" w:afterAutospacing="1"/>
      <w:jc w:val="left"/>
    </w:pPr>
    <w:rPr>
      <w:rFonts w:ascii="ˎ̥" w:eastAsia="宋体" w:hAnsi="ˎ̥" w:cs="宋体"/>
      <w:b/>
      <w:bCs/>
      <w:color w:val="0527AC"/>
      <w:kern w:val="0"/>
      <w:sz w:val="20"/>
      <w:szCs w:val="20"/>
    </w:rPr>
  </w:style>
  <w:style w:type="paragraph" w:customStyle="1" w:styleId="dbt3">
    <w:name w:val="dbt3"/>
    <w:basedOn w:val="a"/>
    <w:rsid w:val="00AA2634"/>
    <w:pPr>
      <w:widowControl/>
      <w:spacing w:before="100" w:beforeAutospacing="1" w:after="100" w:afterAutospacing="1"/>
      <w:jc w:val="left"/>
    </w:pPr>
    <w:rPr>
      <w:rFonts w:ascii="ˎ̥" w:eastAsia="宋体" w:hAnsi="ˎ̥" w:cs="宋体"/>
      <w:color w:val="0527AC"/>
      <w:kern w:val="0"/>
      <w:sz w:val="20"/>
      <w:szCs w:val="20"/>
    </w:rPr>
  </w:style>
  <w:style w:type="paragraph" w:customStyle="1" w:styleId="dbt4">
    <w:name w:val="dbt4"/>
    <w:basedOn w:val="a"/>
    <w:rsid w:val="00AA2634"/>
    <w:pPr>
      <w:widowControl/>
      <w:spacing w:before="100" w:beforeAutospacing="1" w:after="100" w:afterAutospacing="1"/>
      <w:jc w:val="left"/>
    </w:pPr>
    <w:rPr>
      <w:rFonts w:ascii="ˎ̥" w:eastAsia="宋体" w:hAnsi="ˎ̥" w:cs="宋体"/>
      <w:color w:val="0A227A"/>
      <w:kern w:val="0"/>
      <w:sz w:val="20"/>
      <w:szCs w:val="20"/>
    </w:rPr>
  </w:style>
  <w:style w:type="paragraph" w:customStyle="1" w:styleId="dbt5">
    <w:name w:val="dbt5"/>
    <w:basedOn w:val="a"/>
    <w:rsid w:val="00AA2634"/>
    <w:pPr>
      <w:widowControl/>
      <w:spacing w:before="100" w:beforeAutospacing="1" w:after="100" w:afterAutospacing="1"/>
      <w:jc w:val="left"/>
    </w:pPr>
    <w:rPr>
      <w:rFonts w:ascii="ˎ̥" w:eastAsia="宋体" w:hAnsi="ˎ̥" w:cs="宋体"/>
      <w:color w:val="0228AD"/>
      <w:kern w:val="0"/>
      <w:sz w:val="20"/>
      <w:szCs w:val="20"/>
    </w:rPr>
  </w:style>
  <w:style w:type="paragraph" w:customStyle="1" w:styleId="dbt6">
    <w:name w:val="dbt6"/>
    <w:basedOn w:val="a"/>
    <w:rsid w:val="00AA2634"/>
    <w:pPr>
      <w:widowControl/>
      <w:spacing w:before="100" w:beforeAutospacing="1" w:after="100" w:afterAutospacing="1"/>
      <w:jc w:val="left"/>
    </w:pPr>
    <w:rPr>
      <w:rFonts w:ascii="ˎ̥" w:eastAsia="宋体" w:hAnsi="ˎ̥" w:cs="宋体"/>
      <w:color w:val="0129AD"/>
      <w:kern w:val="0"/>
      <w:sz w:val="20"/>
      <w:szCs w:val="20"/>
    </w:rPr>
  </w:style>
  <w:style w:type="paragraph" w:customStyle="1" w:styleId="more">
    <w:name w:val="more"/>
    <w:basedOn w:val="a"/>
    <w:rsid w:val="00AA2634"/>
    <w:pPr>
      <w:widowControl/>
      <w:spacing w:before="100" w:beforeAutospacing="1" w:after="100" w:afterAutospacing="1"/>
      <w:jc w:val="left"/>
    </w:pPr>
    <w:rPr>
      <w:rFonts w:ascii="ˎ̥" w:eastAsia="宋体" w:hAnsi="ˎ̥" w:cs="宋体"/>
      <w:color w:val="2C6AC1"/>
      <w:kern w:val="0"/>
      <w:sz w:val="17"/>
      <w:szCs w:val="17"/>
    </w:rPr>
  </w:style>
  <w:style w:type="paragraph" w:customStyle="1" w:styleId="more1">
    <w:name w:val="more1"/>
    <w:basedOn w:val="a"/>
    <w:rsid w:val="00AA2634"/>
    <w:pPr>
      <w:widowControl/>
      <w:spacing w:before="100" w:beforeAutospacing="1" w:after="100" w:afterAutospacing="1"/>
      <w:jc w:val="left"/>
    </w:pPr>
    <w:rPr>
      <w:rFonts w:ascii="ˎ̥" w:eastAsia="宋体" w:hAnsi="ˎ̥" w:cs="宋体"/>
      <w:color w:val="9F0014"/>
      <w:kern w:val="0"/>
      <w:sz w:val="17"/>
      <w:szCs w:val="17"/>
    </w:rPr>
  </w:style>
  <w:style w:type="paragraph" w:customStyle="1" w:styleId="mask">
    <w:name w:val="mask"/>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
    <w:name w:val="button"/>
    <w:basedOn w:val="a"/>
    <w:rsid w:val="00AA2634"/>
    <w:pPr>
      <w:widowControl/>
      <w:spacing w:before="100" w:beforeAutospacing="1" w:after="100" w:afterAutospacing="1"/>
      <w:jc w:val="left"/>
    </w:pPr>
    <w:rPr>
      <w:rFonts w:ascii="ˎ̥" w:eastAsia="宋体" w:hAnsi="ˎ̥" w:cs="宋体"/>
      <w:b/>
      <w:bCs/>
      <w:color w:val="FFFFFF"/>
      <w:kern w:val="0"/>
      <w:sz w:val="20"/>
      <w:szCs w:val="20"/>
    </w:rPr>
  </w:style>
  <w:style w:type="paragraph" w:customStyle="1" w:styleId="mask1">
    <w:name w:val="mask1"/>
    <w:basedOn w:val="a"/>
    <w:rsid w:val="00AA2634"/>
    <w:pPr>
      <w:widowControl/>
      <w:spacing w:before="100" w:beforeAutospacing="1" w:after="100" w:afterAutospacing="1"/>
      <w:jc w:val="left"/>
    </w:pPr>
    <w:rPr>
      <w:rFonts w:ascii="ˎ̥" w:eastAsia="宋体" w:hAnsi="ˎ̥" w:cs="宋体"/>
      <w:kern w:val="0"/>
      <w:sz w:val="20"/>
      <w:szCs w:val="20"/>
    </w:rPr>
  </w:style>
  <w:style w:type="paragraph" w:customStyle="1" w:styleId="button1">
    <w:name w:val="button1"/>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2">
    <w:name w:val="mask2"/>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2">
    <w:name w:val="button2"/>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3">
    <w:name w:val="mask3"/>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3">
    <w:name w:val="button3"/>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4">
    <w:name w:val="mask4"/>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4">
    <w:name w:val="button4"/>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5">
    <w:name w:val="mask5"/>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5">
    <w:name w:val="button5"/>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6">
    <w:name w:val="mask6"/>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qx">
    <w:name w:val="maskqx"/>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6">
    <w:name w:val="button6"/>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6111">
    <w:name w:val="mask6111"/>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6111">
    <w:name w:val="button6111"/>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61111">
    <w:name w:val="mask61111"/>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61111">
    <w:name w:val="button61111"/>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66">
    <w:name w:val="mask66"/>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66">
    <w:name w:val="button66"/>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7">
    <w:name w:val="mask7"/>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7">
    <w:name w:val="button7"/>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7222">
    <w:name w:val="mask7222"/>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7222">
    <w:name w:val="button7222"/>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72222">
    <w:name w:val="mask72222"/>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72222">
    <w:name w:val="button72222"/>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77">
    <w:name w:val="mask77"/>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77">
    <w:name w:val="button77"/>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8">
    <w:name w:val="mask8"/>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8">
    <w:name w:val="button8"/>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8x">
    <w:name w:val="mask8x"/>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8x">
    <w:name w:val="button8x"/>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88">
    <w:name w:val="mask88"/>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88">
    <w:name w:val="button88"/>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8tit">
    <w:name w:val="mask8tit"/>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8tit">
    <w:name w:val="button8tit"/>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9">
    <w:name w:val="mask9"/>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9">
    <w:name w:val="button9"/>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10">
    <w:name w:val="mask10"/>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11">
    <w:name w:val="button11"/>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11">
    <w:name w:val="mask11"/>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12">
    <w:name w:val="button12"/>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12">
    <w:name w:val="mask12"/>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10">
    <w:name w:val="button10"/>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13">
    <w:name w:val="button13"/>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13">
    <w:name w:val="mask13"/>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14">
    <w:name w:val="button14"/>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14">
    <w:name w:val="mask14"/>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15">
    <w:name w:val="mask15"/>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15">
    <w:name w:val="button15"/>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yl">
    <w:name w:val="maskyl"/>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yl">
    <w:name w:val="buttonyl"/>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skyll">
    <w:name w:val="maskyll"/>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buttonyll">
    <w:name w:val="buttonyll"/>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srkty">
    <w:name w:val="srkty"/>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srktycss">
    <w:name w:val="srktycss"/>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srktyt">
    <w:name w:val="srktyt"/>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srktyta">
    <w:name w:val="srktyta"/>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cz">
    <w:name w:val="cz"/>
    <w:basedOn w:val="a"/>
    <w:rsid w:val="00AA2634"/>
    <w:pPr>
      <w:widowControl/>
      <w:spacing w:before="100" w:beforeAutospacing="1" w:after="100" w:afterAutospacing="1"/>
      <w:jc w:val="left"/>
    </w:pPr>
    <w:rPr>
      <w:rFonts w:ascii="ˎ̥" w:eastAsia="宋体" w:hAnsi="ˎ̥" w:cs="宋体"/>
      <w:color w:val="000000"/>
      <w:kern w:val="0"/>
      <w:sz w:val="20"/>
      <w:szCs w:val="20"/>
    </w:rPr>
  </w:style>
  <w:style w:type="paragraph" w:customStyle="1" w:styleId="xwzxd">
    <w:name w:val="xwzxd"/>
    <w:basedOn w:val="a"/>
    <w:rsid w:val="00AA2634"/>
    <w:pPr>
      <w:widowControl/>
      <w:spacing w:before="100" w:beforeAutospacing="1" w:after="100" w:afterAutospacing="1"/>
      <w:jc w:val="left"/>
    </w:pPr>
    <w:rPr>
      <w:rFonts w:ascii="ڌ墻 LETTER-SPACING: -1px" w:eastAsia="ڌ墻 LETTER-SPACING: -1px" w:hAnsi="ˎ̥" w:cs="宋体"/>
      <w:color w:val="9F0014"/>
      <w:kern w:val="0"/>
      <w:sz w:val="29"/>
      <w:szCs w:val="29"/>
    </w:rPr>
  </w:style>
  <w:style w:type="paragraph" w:customStyle="1" w:styleId="xwzxe">
    <w:name w:val="xwzxe"/>
    <w:basedOn w:val="a"/>
    <w:rsid w:val="00AA2634"/>
    <w:pPr>
      <w:widowControl/>
      <w:spacing w:before="100" w:beforeAutospacing="1" w:after="100" w:afterAutospacing="1"/>
      <w:jc w:val="left"/>
    </w:pPr>
    <w:rPr>
      <w:rFonts w:ascii="ˎ̥" w:eastAsia="宋体" w:hAnsi="ˎ̥" w:cs="宋体"/>
      <w:color w:val="0527AC"/>
      <w:kern w:val="0"/>
      <w:sz w:val="20"/>
      <w:szCs w:val="20"/>
    </w:rPr>
  </w:style>
  <w:style w:type="paragraph" w:customStyle="1" w:styleId="zcfb">
    <w:name w:val="zcfb"/>
    <w:basedOn w:val="a"/>
    <w:rsid w:val="00AA2634"/>
    <w:pPr>
      <w:widowControl/>
      <w:spacing w:before="100" w:beforeAutospacing="1" w:after="100" w:afterAutospacing="1"/>
      <w:jc w:val="left"/>
    </w:pPr>
    <w:rPr>
      <w:rFonts w:ascii="ˎ̥" w:eastAsia="宋体" w:hAnsi="ˎ̥" w:cs="宋体"/>
      <w:b/>
      <w:bCs/>
      <w:color w:val="CE2020"/>
      <w:kern w:val="0"/>
      <w:sz w:val="23"/>
      <w:szCs w:val="23"/>
    </w:rPr>
  </w:style>
  <w:style w:type="paragraph" w:customStyle="1" w:styleId="xgwz">
    <w:name w:val="xgwz"/>
    <w:basedOn w:val="a"/>
    <w:rsid w:val="00AA2634"/>
    <w:pPr>
      <w:widowControl/>
      <w:spacing w:before="100" w:beforeAutospacing="1" w:after="100" w:afterAutospacing="1"/>
      <w:jc w:val="left"/>
    </w:pPr>
    <w:rPr>
      <w:rFonts w:ascii="ˎ̥" w:eastAsia="宋体" w:hAnsi="ˎ̥" w:cs="宋体"/>
      <w:color w:val="000000"/>
      <w:kern w:val="0"/>
      <w:sz w:val="17"/>
      <w:szCs w:val="17"/>
    </w:rPr>
  </w:style>
  <w:style w:type="paragraph" w:customStyle="1" w:styleId="sy">
    <w:name w:val="sy"/>
    <w:basedOn w:val="a"/>
    <w:rsid w:val="00AA2634"/>
    <w:pPr>
      <w:widowControl/>
      <w:spacing w:before="100" w:beforeAutospacing="1" w:after="100" w:afterAutospacing="1"/>
      <w:jc w:val="left"/>
    </w:pPr>
    <w:rPr>
      <w:rFonts w:ascii="ˎ̥" w:eastAsia="宋体" w:hAnsi="ˎ̥" w:cs="宋体"/>
      <w:color w:val="D80001"/>
      <w:kern w:val="0"/>
      <w:sz w:val="19"/>
      <w:szCs w:val="19"/>
    </w:rPr>
  </w:style>
  <w:style w:type="paragraph" w:customStyle="1" w:styleId="gd">
    <w:name w:val="gd"/>
    <w:basedOn w:val="a"/>
    <w:rsid w:val="00AA2634"/>
    <w:pPr>
      <w:widowControl/>
      <w:spacing w:before="100" w:beforeAutospacing="1" w:after="100" w:afterAutospacing="1"/>
      <w:jc w:val="left"/>
    </w:pPr>
    <w:rPr>
      <w:rFonts w:ascii="ˎ̥" w:eastAsia="宋体" w:hAnsi="ˎ̥" w:cs="宋体"/>
      <w:color w:val="9F0014"/>
      <w:kern w:val="0"/>
      <w:sz w:val="17"/>
      <w:szCs w:val="17"/>
    </w:rPr>
  </w:style>
  <w:style w:type="paragraph" w:customStyle="1" w:styleId="gd1">
    <w:name w:val="gd1"/>
    <w:basedOn w:val="a"/>
    <w:rsid w:val="00AA2634"/>
    <w:pPr>
      <w:widowControl/>
      <w:spacing w:before="100" w:beforeAutospacing="1" w:after="100" w:afterAutospacing="1"/>
      <w:jc w:val="left"/>
    </w:pPr>
    <w:rPr>
      <w:rFonts w:ascii="ˎ̥" w:eastAsia="宋体" w:hAnsi="ˎ̥" w:cs="宋体"/>
      <w:color w:val="2C6AC1"/>
      <w:kern w:val="0"/>
      <w:sz w:val="17"/>
      <w:szCs w:val="17"/>
    </w:rPr>
  </w:style>
  <w:style w:type="paragraph" w:customStyle="1" w:styleId="nswf">
    <w:name w:val="nswf"/>
    <w:basedOn w:val="a"/>
    <w:rsid w:val="00AA2634"/>
    <w:pPr>
      <w:widowControl/>
      <w:spacing w:before="100" w:beforeAutospacing="1" w:after="100" w:afterAutospacing="1"/>
      <w:jc w:val="left"/>
    </w:pPr>
    <w:rPr>
      <w:rFonts w:ascii="ˎ̥" w:eastAsia="宋体" w:hAnsi="ˎ̥" w:cs="宋体"/>
      <w:b/>
      <w:bCs/>
      <w:color w:val="000000"/>
      <w:kern w:val="0"/>
      <w:sz w:val="19"/>
      <w:szCs w:val="19"/>
    </w:rPr>
  </w:style>
  <w:style w:type="paragraph" w:customStyle="1" w:styleId="sjzzx">
    <w:name w:val="sjzzx"/>
    <w:basedOn w:val="a"/>
    <w:rsid w:val="00AA2634"/>
    <w:pPr>
      <w:widowControl/>
      <w:spacing w:before="100" w:beforeAutospacing="1" w:after="100" w:afterAutospacing="1"/>
      <w:jc w:val="left"/>
    </w:pPr>
    <w:rPr>
      <w:rFonts w:ascii="ˎ̥" w:eastAsia="宋体" w:hAnsi="ˎ̥" w:cs="宋体"/>
      <w:color w:val="820010"/>
      <w:kern w:val="0"/>
      <w:sz w:val="19"/>
      <w:szCs w:val="19"/>
    </w:rPr>
  </w:style>
  <w:style w:type="paragraph" w:customStyle="1" w:styleId="sjzzxx">
    <w:name w:val="sjzzxx"/>
    <w:basedOn w:val="a"/>
    <w:rsid w:val="00AA2634"/>
    <w:pPr>
      <w:widowControl/>
      <w:spacing w:before="100" w:beforeAutospacing="1" w:after="100" w:afterAutospacing="1"/>
      <w:jc w:val="left"/>
    </w:pPr>
    <w:rPr>
      <w:rFonts w:ascii="ˎ̥" w:eastAsia="宋体" w:hAnsi="ˎ̥" w:cs="宋体"/>
      <w:b/>
      <w:bCs/>
      <w:color w:val="B51C2A"/>
      <w:kern w:val="0"/>
      <w:sz w:val="17"/>
      <w:szCs w:val="17"/>
    </w:rPr>
  </w:style>
  <w:style w:type="paragraph" w:customStyle="1" w:styleId="ztbottom">
    <w:name w:val="ztbottom"/>
    <w:basedOn w:val="a"/>
    <w:rsid w:val="00AA2634"/>
    <w:pPr>
      <w:widowControl/>
      <w:spacing w:before="100" w:beforeAutospacing="1" w:after="100" w:afterAutospacing="1"/>
      <w:jc w:val="left"/>
    </w:pPr>
    <w:rPr>
      <w:rFonts w:ascii="ˎ̥" w:eastAsia="宋体" w:hAnsi="ˎ̥" w:cs="宋体"/>
      <w:color w:val="316AC1"/>
      <w:kern w:val="0"/>
      <w:sz w:val="20"/>
      <w:szCs w:val="20"/>
    </w:rPr>
  </w:style>
  <w:style w:type="paragraph" w:customStyle="1" w:styleId="ztright">
    <w:name w:val="ztright"/>
    <w:basedOn w:val="a"/>
    <w:rsid w:val="00AA2634"/>
    <w:pPr>
      <w:widowControl/>
      <w:spacing w:before="100" w:beforeAutospacing="1" w:after="100" w:afterAutospacing="1"/>
      <w:jc w:val="left"/>
    </w:pPr>
    <w:rPr>
      <w:rFonts w:ascii="ˎ̥" w:eastAsia="宋体" w:hAnsi="ˎ̥" w:cs="宋体"/>
      <w:color w:val="0228AD"/>
      <w:kern w:val="0"/>
      <w:sz w:val="20"/>
      <w:szCs w:val="20"/>
    </w:rPr>
  </w:style>
  <w:style w:type="paragraph" w:customStyle="1" w:styleId="ztcenter">
    <w:name w:val="ztcenter"/>
    <w:basedOn w:val="a"/>
    <w:rsid w:val="00AA2634"/>
    <w:pPr>
      <w:widowControl/>
      <w:spacing w:before="100" w:beforeAutospacing="1" w:after="100" w:afterAutospacing="1"/>
      <w:jc w:val="left"/>
    </w:pPr>
    <w:rPr>
      <w:rFonts w:ascii="ˎ̥" w:eastAsia="宋体" w:hAnsi="ˎ̥" w:cs="宋体"/>
      <w:color w:val="0129AD"/>
      <w:kern w:val="0"/>
      <w:sz w:val="20"/>
      <w:szCs w:val="20"/>
    </w:rPr>
  </w:style>
  <w:style w:type="paragraph" w:customStyle="1" w:styleId="xinfw">
    <w:name w:val="xinfw"/>
    <w:basedOn w:val="a"/>
    <w:rsid w:val="00AA2634"/>
    <w:pPr>
      <w:widowControl/>
      <w:spacing w:before="100" w:beforeAutospacing="1" w:after="100" w:afterAutospacing="1"/>
      <w:jc w:val="left"/>
    </w:pPr>
    <w:rPr>
      <w:rFonts w:ascii="ˎ̥" w:eastAsia="宋体" w:hAnsi="ˎ̥" w:cs="宋体"/>
      <w:color w:val="00234B"/>
      <w:kern w:val="0"/>
      <w:sz w:val="20"/>
      <w:szCs w:val="20"/>
    </w:rPr>
  </w:style>
  <w:style w:type="paragraph" w:customStyle="1" w:styleId="xinfr">
    <w:name w:val="xinfr"/>
    <w:basedOn w:val="a"/>
    <w:rsid w:val="00AA2634"/>
    <w:pPr>
      <w:widowControl/>
      <w:spacing w:before="100" w:beforeAutospacing="1" w:after="100" w:afterAutospacing="1"/>
      <w:jc w:val="left"/>
    </w:pPr>
    <w:rPr>
      <w:rFonts w:ascii="ˎ̥" w:eastAsia="宋体" w:hAnsi="ˎ̥" w:cs="宋体"/>
      <w:color w:val="000000"/>
      <w:kern w:val="0"/>
      <w:sz w:val="20"/>
      <w:szCs w:val="20"/>
    </w:rPr>
  </w:style>
  <w:style w:type="paragraph" w:customStyle="1" w:styleId="xinfl">
    <w:name w:val="xinfl"/>
    <w:basedOn w:val="a"/>
    <w:rsid w:val="00AA2634"/>
    <w:pPr>
      <w:widowControl/>
      <w:spacing w:before="100" w:beforeAutospacing="1" w:after="100" w:afterAutospacing="1"/>
      <w:jc w:val="left"/>
    </w:pPr>
    <w:rPr>
      <w:rFonts w:ascii="ˎ̥" w:eastAsia="宋体" w:hAnsi="ˎ̥" w:cs="宋体"/>
      <w:color w:val="00234B"/>
      <w:kern w:val="0"/>
      <w:sz w:val="20"/>
      <w:szCs w:val="20"/>
    </w:rPr>
  </w:style>
  <w:style w:type="paragraph" w:customStyle="1" w:styleId="year">
    <w:name w:val="year"/>
    <w:basedOn w:val="a"/>
    <w:rsid w:val="00AA2634"/>
    <w:pPr>
      <w:widowControl/>
      <w:spacing w:before="100" w:beforeAutospacing="1" w:after="100" w:afterAutospacing="1"/>
      <w:jc w:val="left"/>
    </w:pPr>
    <w:rPr>
      <w:rFonts w:ascii="ˎ̥" w:eastAsia="宋体" w:hAnsi="ˎ̥" w:cs="宋体"/>
      <w:color w:val="B10000"/>
      <w:kern w:val="0"/>
      <w:sz w:val="20"/>
      <w:szCs w:val="20"/>
    </w:rPr>
  </w:style>
  <w:style w:type="paragraph" w:customStyle="1" w:styleId="yearaa">
    <w:name w:val="yearaa"/>
    <w:basedOn w:val="a"/>
    <w:rsid w:val="00AA2634"/>
    <w:pPr>
      <w:widowControl/>
      <w:spacing w:before="100" w:beforeAutospacing="1" w:after="100" w:afterAutospacing="1"/>
      <w:jc w:val="left"/>
    </w:pPr>
    <w:rPr>
      <w:rFonts w:ascii="ˎ̥" w:eastAsia="宋体" w:hAnsi="ˎ̥" w:cs="宋体"/>
      <w:color w:val="0129AD"/>
      <w:kern w:val="0"/>
      <w:sz w:val="20"/>
      <w:szCs w:val="20"/>
    </w:rPr>
  </w:style>
  <w:style w:type="paragraph" w:customStyle="1" w:styleId="zcfbxl">
    <w:name w:val="zcfbxl"/>
    <w:basedOn w:val="a"/>
    <w:rsid w:val="00AA2634"/>
    <w:pPr>
      <w:widowControl/>
      <w:spacing w:before="100" w:beforeAutospacing="1" w:after="100" w:afterAutospacing="1"/>
      <w:jc w:val="left"/>
    </w:pPr>
    <w:rPr>
      <w:rFonts w:ascii="ˎ̥" w:eastAsia="宋体" w:hAnsi="ˎ̥" w:cs="宋体"/>
      <w:b/>
      <w:bCs/>
      <w:color w:val="000000"/>
      <w:kern w:val="0"/>
      <w:szCs w:val="21"/>
    </w:rPr>
  </w:style>
  <w:style w:type="paragraph" w:customStyle="1" w:styleId="zcfbxll">
    <w:name w:val="zcfbxll"/>
    <w:basedOn w:val="a"/>
    <w:rsid w:val="00AA2634"/>
    <w:pPr>
      <w:widowControl/>
      <w:spacing w:before="100" w:beforeAutospacing="1" w:after="100" w:afterAutospacing="1"/>
      <w:jc w:val="left"/>
    </w:pPr>
    <w:rPr>
      <w:rFonts w:ascii="ˎ̥" w:eastAsia="宋体" w:hAnsi="ˎ̥" w:cs="宋体"/>
      <w:color w:val="000000"/>
      <w:spacing w:val="14"/>
      <w:kern w:val="0"/>
      <w:sz w:val="20"/>
      <w:szCs w:val="20"/>
    </w:rPr>
  </w:style>
  <w:style w:type="paragraph" w:customStyle="1" w:styleId="erjilm">
    <w:name w:val="erjilm"/>
    <w:basedOn w:val="a"/>
    <w:rsid w:val="00AA2634"/>
    <w:pPr>
      <w:widowControl/>
      <w:spacing w:before="100" w:beforeAutospacing="1" w:after="100" w:afterAutospacing="1"/>
      <w:jc w:val="left"/>
    </w:pPr>
    <w:rPr>
      <w:rFonts w:ascii="ˎ̥" w:eastAsia="宋体" w:hAnsi="ˎ̥" w:cs="宋体"/>
      <w:color w:val="000000"/>
      <w:kern w:val="0"/>
      <w:sz w:val="20"/>
      <w:szCs w:val="20"/>
    </w:rPr>
  </w:style>
  <w:style w:type="paragraph" w:customStyle="1" w:styleId="erjilma">
    <w:name w:val="erjilma"/>
    <w:basedOn w:val="a"/>
    <w:rsid w:val="00AA2634"/>
    <w:pPr>
      <w:widowControl/>
      <w:spacing w:before="100" w:beforeAutospacing="1" w:after="100" w:afterAutospacing="1"/>
      <w:jc w:val="left"/>
    </w:pPr>
    <w:rPr>
      <w:rFonts w:ascii="ˎ̥" w:eastAsia="宋体" w:hAnsi="ˎ̥" w:cs="宋体"/>
      <w:color w:val="0129AD"/>
      <w:spacing w:val="14"/>
      <w:kern w:val="0"/>
      <w:sz w:val="20"/>
      <w:szCs w:val="20"/>
    </w:rPr>
  </w:style>
  <w:style w:type="paragraph" w:customStyle="1" w:styleId="erdjilm">
    <w:name w:val="erdjilm"/>
    <w:basedOn w:val="a"/>
    <w:rsid w:val="00AA2634"/>
    <w:pPr>
      <w:widowControl/>
      <w:spacing w:before="100" w:beforeAutospacing="1" w:after="100" w:afterAutospacing="1"/>
      <w:jc w:val="left"/>
    </w:pPr>
    <w:rPr>
      <w:rFonts w:ascii="ˎ̥" w:eastAsia="宋体" w:hAnsi="ˎ̥" w:cs="宋体"/>
      <w:b/>
      <w:bCs/>
      <w:color w:val="B85933"/>
      <w:kern w:val="0"/>
      <w:sz w:val="23"/>
      <w:szCs w:val="23"/>
    </w:rPr>
  </w:style>
  <w:style w:type="paragraph" w:customStyle="1" w:styleId="ddh">
    <w:name w:val="ddh"/>
    <w:basedOn w:val="a"/>
    <w:rsid w:val="00AA2634"/>
    <w:pPr>
      <w:widowControl/>
      <w:spacing w:before="100" w:beforeAutospacing="1" w:after="100" w:afterAutospacing="1"/>
      <w:jc w:val="left"/>
    </w:pPr>
    <w:rPr>
      <w:rFonts w:ascii="ˎ̥" w:eastAsia="宋体" w:hAnsi="ˎ̥" w:cs="宋体"/>
      <w:color w:val="000000"/>
      <w:kern w:val="0"/>
      <w:sz w:val="19"/>
      <w:szCs w:val="19"/>
    </w:rPr>
  </w:style>
  <w:style w:type="paragraph" w:customStyle="1" w:styleId="ddh1">
    <w:name w:val="ddh1"/>
    <w:basedOn w:val="a"/>
    <w:rsid w:val="00AA2634"/>
    <w:pPr>
      <w:widowControl/>
      <w:spacing w:before="100" w:beforeAutospacing="1" w:after="100" w:afterAutospacing="1"/>
      <w:jc w:val="left"/>
    </w:pPr>
    <w:rPr>
      <w:rFonts w:ascii="ˎ̥" w:eastAsia="宋体" w:hAnsi="ˎ̥" w:cs="宋体"/>
      <w:color w:val="022AAE"/>
      <w:kern w:val="0"/>
      <w:sz w:val="19"/>
      <w:szCs w:val="19"/>
    </w:rPr>
  </w:style>
  <w:style w:type="paragraph" w:customStyle="1" w:styleId="home">
    <w:name w:val="home"/>
    <w:basedOn w:val="a"/>
    <w:rsid w:val="00AA2634"/>
    <w:pPr>
      <w:widowControl/>
      <w:spacing w:before="100" w:beforeAutospacing="1" w:after="100" w:afterAutospacing="1"/>
      <w:jc w:val="left"/>
    </w:pPr>
    <w:rPr>
      <w:rFonts w:ascii="ˎ̥" w:eastAsia="宋体" w:hAnsi="ˎ̥" w:cs="宋体"/>
      <w:color w:val="04076E"/>
      <w:kern w:val="0"/>
      <w:sz w:val="19"/>
      <w:szCs w:val="19"/>
    </w:rPr>
  </w:style>
  <w:style w:type="paragraph" w:customStyle="1" w:styleId="navy">
    <w:name w:val="navy"/>
    <w:basedOn w:val="a"/>
    <w:rsid w:val="00AA2634"/>
    <w:pPr>
      <w:widowControl/>
      <w:spacing w:before="100" w:beforeAutospacing="1" w:after="100" w:afterAutospacing="1" w:line="228" w:lineRule="atLeast"/>
      <w:jc w:val="left"/>
    </w:pPr>
    <w:rPr>
      <w:rFonts w:ascii="??" w:eastAsia="宋体" w:hAnsi="??" w:cs="宋体"/>
      <w:color w:val="003CC8"/>
      <w:kern w:val="0"/>
      <w:sz w:val="17"/>
      <w:szCs w:val="17"/>
    </w:rPr>
  </w:style>
  <w:style w:type="paragraph" w:customStyle="1" w:styleId="jia">
    <w:name w:val="jia"/>
    <w:basedOn w:val="a"/>
    <w:rsid w:val="00AA2634"/>
    <w:pPr>
      <w:widowControl/>
      <w:spacing w:before="100" w:beforeAutospacing="1" w:after="100" w:afterAutospacing="1"/>
      <w:jc w:val="left"/>
    </w:pPr>
    <w:rPr>
      <w:rFonts w:ascii="ˎ̥" w:eastAsia="宋体" w:hAnsi="ˎ̥" w:cs="宋体"/>
      <w:color w:val="3359CC"/>
      <w:kern w:val="0"/>
      <w:sz w:val="19"/>
      <w:szCs w:val="19"/>
    </w:rPr>
  </w:style>
  <w:style w:type="paragraph" w:customStyle="1" w:styleId="jia1">
    <w:name w:val="jia1"/>
    <w:basedOn w:val="a"/>
    <w:rsid w:val="00AA2634"/>
    <w:pPr>
      <w:widowControl/>
      <w:spacing w:before="100" w:beforeAutospacing="1" w:after="100" w:afterAutospacing="1"/>
      <w:jc w:val="left"/>
    </w:pPr>
    <w:rPr>
      <w:rFonts w:ascii="ˎ̥" w:eastAsia="宋体" w:hAnsi="ˎ̥" w:cs="宋体"/>
      <w:color w:val="000000"/>
      <w:kern w:val="0"/>
      <w:sz w:val="19"/>
      <w:szCs w:val="19"/>
    </w:rPr>
  </w:style>
  <w:style w:type="paragraph" w:customStyle="1" w:styleId="jia2">
    <w:name w:val="jia2"/>
    <w:basedOn w:val="a"/>
    <w:rsid w:val="00AA2634"/>
    <w:pPr>
      <w:widowControl/>
      <w:spacing w:before="100" w:beforeAutospacing="1" w:after="100" w:afterAutospacing="1"/>
      <w:jc w:val="left"/>
    </w:pPr>
    <w:rPr>
      <w:rFonts w:ascii="ˎ̥" w:eastAsia="宋体" w:hAnsi="ˎ̥" w:cs="宋体"/>
      <w:color w:val="AC0000"/>
      <w:kern w:val="0"/>
      <w:sz w:val="19"/>
      <w:szCs w:val="19"/>
    </w:rPr>
  </w:style>
  <w:style w:type="paragraph" w:customStyle="1" w:styleId="gzuxl">
    <w:name w:val="gzuxl"/>
    <w:basedOn w:val="a"/>
    <w:rsid w:val="00AA2634"/>
    <w:pPr>
      <w:widowControl/>
      <w:spacing w:before="100" w:beforeAutospacing="1" w:after="100" w:afterAutospacing="1"/>
      <w:jc w:val="left"/>
    </w:pPr>
    <w:rPr>
      <w:rFonts w:ascii="ˎ̥" w:eastAsia="宋体" w:hAnsi="ˎ̥" w:cs="宋体"/>
      <w:b/>
      <w:bCs/>
      <w:color w:val="B04302"/>
      <w:kern w:val="0"/>
      <w:szCs w:val="21"/>
    </w:rPr>
  </w:style>
  <w:style w:type="paragraph" w:customStyle="1" w:styleId="zcfb6">
    <w:name w:val="zcfb6"/>
    <w:basedOn w:val="a"/>
    <w:rsid w:val="00AA2634"/>
    <w:pPr>
      <w:widowControl/>
      <w:spacing w:before="100" w:beforeAutospacing="1" w:after="100" w:afterAutospacing="1"/>
      <w:jc w:val="left"/>
    </w:pPr>
    <w:rPr>
      <w:rFonts w:ascii="ˎ̥" w:eastAsia="宋体" w:hAnsi="ˎ̥" w:cs="宋体"/>
      <w:color w:val="0000FF"/>
      <w:kern w:val="0"/>
      <w:szCs w:val="21"/>
    </w:rPr>
  </w:style>
  <w:style w:type="paragraph" w:customStyle="1" w:styleId="buttonlink">
    <w:name w:val="buttonlink"/>
    <w:basedOn w:val="a"/>
    <w:rsid w:val="00AA2634"/>
    <w:pPr>
      <w:widowControl/>
      <w:spacing w:before="100" w:beforeAutospacing="1" w:after="100" w:afterAutospacing="1"/>
      <w:jc w:val="left"/>
    </w:pPr>
    <w:rPr>
      <w:rFonts w:ascii="ˎ̥" w:eastAsia="宋体" w:hAnsi="ˎ̥" w:cs="宋体"/>
      <w:color w:val="000000"/>
      <w:kern w:val="0"/>
      <w:sz w:val="19"/>
      <w:szCs w:val="19"/>
    </w:rPr>
  </w:style>
  <w:style w:type="paragraph" w:customStyle="1" w:styleId="sousuo">
    <w:name w:val="sousuo"/>
    <w:basedOn w:val="a"/>
    <w:rsid w:val="00AA2634"/>
    <w:pPr>
      <w:widowControl/>
      <w:shd w:val="clear" w:color="auto" w:fill="FFFFFF"/>
      <w:spacing w:before="100" w:beforeAutospacing="1" w:after="100" w:afterAutospacing="1"/>
      <w:jc w:val="left"/>
    </w:pPr>
    <w:rPr>
      <w:rFonts w:ascii="ˎ̥" w:eastAsia="宋体" w:hAnsi="ˎ̥" w:cs="宋体"/>
      <w:kern w:val="0"/>
      <w:sz w:val="17"/>
      <w:szCs w:val="17"/>
    </w:rPr>
  </w:style>
  <w:style w:type="paragraph" w:customStyle="1" w:styleId="ldhd">
    <w:name w:val="ldhd"/>
    <w:basedOn w:val="a"/>
    <w:rsid w:val="00AA2634"/>
    <w:pPr>
      <w:widowControl/>
      <w:spacing w:before="100" w:beforeAutospacing="1" w:after="100" w:afterAutospacing="1"/>
      <w:jc w:val="left"/>
    </w:pPr>
    <w:rPr>
      <w:rFonts w:ascii="ˎ̥" w:eastAsia="宋体" w:hAnsi="ˎ̥" w:cs="宋体"/>
      <w:kern w:val="0"/>
      <w:sz w:val="20"/>
      <w:szCs w:val="20"/>
    </w:rPr>
  </w:style>
  <w:style w:type="paragraph" w:customStyle="1" w:styleId="ldhd1">
    <w:name w:val="ldhd1"/>
    <w:basedOn w:val="a"/>
    <w:rsid w:val="00AA2634"/>
    <w:pPr>
      <w:widowControl/>
      <w:spacing w:before="100" w:beforeAutospacing="1" w:after="100" w:afterAutospacing="1"/>
      <w:jc w:val="left"/>
    </w:pPr>
    <w:rPr>
      <w:rFonts w:ascii="ˎ̥" w:eastAsia="宋体" w:hAnsi="ˎ̥" w:cs="宋体"/>
      <w:b/>
      <w:bCs/>
      <w:color w:val="B90015"/>
      <w:kern w:val="0"/>
      <w:sz w:val="19"/>
      <w:szCs w:val="19"/>
    </w:rPr>
  </w:style>
  <w:style w:type="paragraph" w:customStyle="1" w:styleId="gzux">
    <w:name w:val="gzux"/>
    <w:basedOn w:val="a"/>
    <w:rsid w:val="00AA2634"/>
    <w:pPr>
      <w:widowControl/>
      <w:spacing w:before="100" w:beforeAutospacing="1" w:after="100" w:afterAutospacing="1"/>
      <w:jc w:val="left"/>
    </w:pPr>
    <w:rPr>
      <w:rFonts w:ascii="ˎ̥" w:eastAsia="宋体" w:hAnsi="ˎ̥" w:cs="宋体"/>
      <w:b/>
      <w:bCs/>
      <w:color w:val="B04302"/>
      <w:kern w:val="0"/>
      <w:szCs w:val="21"/>
    </w:rPr>
  </w:style>
  <w:style w:type="paragraph" w:customStyle="1" w:styleId="tit333">
    <w:name w:val="tit333"/>
    <w:basedOn w:val="a"/>
    <w:rsid w:val="00AA2634"/>
    <w:pPr>
      <w:widowControl/>
      <w:spacing w:before="100" w:beforeAutospacing="1" w:after="100" w:afterAutospacing="1"/>
      <w:jc w:val="left"/>
    </w:pPr>
    <w:rPr>
      <w:rFonts w:ascii="ˎ̥" w:eastAsia="宋体" w:hAnsi="ˎ̥" w:cs="宋体"/>
      <w:color w:val="000000"/>
      <w:kern w:val="0"/>
      <w:sz w:val="17"/>
      <w:szCs w:val="17"/>
    </w:rPr>
  </w:style>
  <w:style w:type="paragraph" w:customStyle="1" w:styleId="xwfbtit">
    <w:name w:val="xwfbtit"/>
    <w:basedOn w:val="a"/>
    <w:rsid w:val="00AA2634"/>
    <w:pPr>
      <w:widowControl/>
      <w:spacing w:before="100" w:beforeAutospacing="1" w:after="100" w:afterAutospacing="1"/>
      <w:jc w:val="left"/>
    </w:pPr>
    <w:rPr>
      <w:rFonts w:ascii="ˎ̥" w:eastAsia="宋体" w:hAnsi="ˎ̥" w:cs="宋体"/>
      <w:b/>
      <w:bCs/>
      <w:color w:val="FF7F00"/>
      <w:spacing w:val="14"/>
      <w:kern w:val="0"/>
      <w:sz w:val="23"/>
      <w:szCs w:val="23"/>
    </w:rPr>
  </w:style>
  <w:style w:type="paragraph" w:customStyle="1" w:styleId="xmsp">
    <w:name w:val="xmsp"/>
    <w:basedOn w:val="a"/>
    <w:rsid w:val="00AA2634"/>
    <w:pPr>
      <w:widowControl/>
      <w:spacing w:before="100" w:beforeAutospacing="1" w:after="100" w:afterAutospacing="1"/>
      <w:jc w:val="left"/>
    </w:pPr>
    <w:rPr>
      <w:rFonts w:ascii="ˎ̥" w:eastAsia="宋体" w:hAnsi="ˎ̥" w:cs="宋体"/>
      <w:b/>
      <w:bCs/>
      <w:kern w:val="0"/>
      <w:sz w:val="37"/>
      <w:szCs w:val="37"/>
    </w:rPr>
  </w:style>
  <w:style w:type="paragraph" w:customStyle="1" w:styleId="xmspa">
    <w:name w:val="xmspa"/>
    <w:basedOn w:val="a"/>
    <w:rsid w:val="00AA2634"/>
    <w:pPr>
      <w:widowControl/>
      <w:spacing w:before="100" w:beforeAutospacing="1" w:after="100" w:afterAutospacing="1"/>
      <w:jc w:val="left"/>
    </w:pPr>
    <w:rPr>
      <w:rFonts w:ascii="ˎ̥" w:eastAsia="宋体" w:hAnsi="ˎ̥" w:cs="宋体"/>
      <w:kern w:val="0"/>
      <w:sz w:val="26"/>
      <w:szCs w:val="26"/>
    </w:rPr>
  </w:style>
  <w:style w:type="paragraph" w:customStyle="1" w:styleId="ygjyxe1">
    <w:name w:val="ygjyxe1"/>
    <w:basedOn w:val="a"/>
    <w:rsid w:val="00AA2634"/>
    <w:pPr>
      <w:widowControl/>
      <w:spacing w:before="100" w:beforeAutospacing="1" w:after="100" w:afterAutospacing="1"/>
      <w:jc w:val="left"/>
    </w:pPr>
    <w:rPr>
      <w:rFonts w:ascii="ˎ̥" w:eastAsia="宋体" w:hAnsi="ˎ̥" w:cs="宋体"/>
      <w:b/>
      <w:bCs/>
      <w:color w:val="FFFFFF"/>
      <w:kern w:val="0"/>
      <w:sz w:val="26"/>
      <w:szCs w:val="26"/>
    </w:rPr>
  </w:style>
  <w:style w:type="paragraph" w:customStyle="1" w:styleId="ygjyxe2">
    <w:name w:val="ygjyxe2"/>
    <w:basedOn w:val="a"/>
    <w:rsid w:val="00AA2634"/>
    <w:pPr>
      <w:widowControl/>
      <w:spacing w:before="100" w:beforeAutospacing="1" w:after="100" w:afterAutospacing="1"/>
      <w:jc w:val="left"/>
    </w:pPr>
    <w:rPr>
      <w:rFonts w:ascii="ˎ̥" w:eastAsia="宋体" w:hAnsi="ˎ̥" w:cs="宋体"/>
      <w:b/>
      <w:bCs/>
      <w:color w:val="2E4999"/>
      <w:kern w:val="0"/>
      <w:sz w:val="26"/>
      <w:szCs w:val="26"/>
    </w:rPr>
  </w:style>
  <w:style w:type="paragraph" w:customStyle="1" w:styleId="fgwjj">
    <w:name w:val="fgwjj"/>
    <w:basedOn w:val="a"/>
    <w:rsid w:val="00AA2634"/>
    <w:pPr>
      <w:widowControl/>
      <w:spacing w:before="100" w:beforeAutospacing="1" w:after="100" w:afterAutospacing="1"/>
      <w:jc w:val="left"/>
    </w:pPr>
    <w:rPr>
      <w:rFonts w:ascii="ˎ̥" w:eastAsia="宋体" w:hAnsi="ˎ̥" w:cs="宋体"/>
      <w:b/>
      <w:bCs/>
      <w:color w:val="3359CC"/>
      <w:kern w:val="0"/>
      <w:sz w:val="17"/>
      <w:szCs w:val="17"/>
    </w:rPr>
  </w:style>
  <w:style w:type="paragraph" w:customStyle="1" w:styleId="fgwjja">
    <w:name w:val="fgwjja"/>
    <w:basedOn w:val="a"/>
    <w:rsid w:val="00AA2634"/>
    <w:pPr>
      <w:widowControl/>
      <w:spacing w:before="100" w:beforeAutospacing="1" w:after="100" w:afterAutospacing="1"/>
      <w:jc w:val="left"/>
    </w:pPr>
    <w:rPr>
      <w:rFonts w:ascii="ˎ̥" w:eastAsia="宋体" w:hAnsi="ˎ̥" w:cs="宋体"/>
      <w:b/>
      <w:bCs/>
      <w:color w:val="203880"/>
      <w:kern w:val="0"/>
      <w:sz w:val="17"/>
      <w:szCs w:val="17"/>
    </w:rPr>
  </w:style>
  <w:style w:type="paragraph" w:customStyle="1" w:styleId="fgwjjb">
    <w:name w:val="fgwjjb"/>
    <w:basedOn w:val="a"/>
    <w:rsid w:val="00AA2634"/>
    <w:pPr>
      <w:widowControl/>
      <w:spacing w:before="100" w:beforeAutospacing="1" w:after="100" w:afterAutospacing="1"/>
      <w:jc w:val="left"/>
    </w:pPr>
    <w:rPr>
      <w:rFonts w:ascii="ˎ̥" w:eastAsia="宋体" w:hAnsi="ˎ̥" w:cs="宋体"/>
      <w:b/>
      <w:bCs/>
      <w:color w:val="3359CC"/>
      <w:kern w:val="0"/>
      <w:sz w:val="20"/>
      <w:szCs w:val="20"/>
    </w:rPr>
  </w:style>
  <w:style w:type="paragraph" w:customStyle="1" w:styleId="fgwjjc">
    <w:name w:val="fgwjjc"/>
    <w:basedOn w:val="a"/>
    <w:rsid w:val="00AA2634"/>
    <w:pPr>
      <w:widowControl/>
      <w:spacing w:before="100" w:beforeAutospacing="1" w:after="100" w:afterAutospacing="1"/>
      <w:jc w:val="left"/>
    </w:pPr>
    <w:rPr>
      <w:rFonts w:ascii="ˎ̥" w:eastAsia="宋体" w:hAnsi="ˎ̥" w:cs="宋体"/>
      <w:color w:val="3359CC"/>
      <w:kern w:val="0"/>
      <w:sz w:val="17"/>
      <w:szCs w:val="17"/>
    </w:rPr>
  </w:style>
  <w:style w:type="paragraph" w:customStyle="1" w:styleId="newslink">
    <w:name w:val="newslink"/>
    <w:basedOn w:val="a"/>
    <w:rsid w:val="00AA2634"/>
    <w:pPr>
      <w:widowControl/>
      <w:spacing w:before="100" w:beforeAutospacing="1" w:after="100" w:afterAutospacing="1"/>
      <w:jc w:val="left"/>
    </w:pPr>
    <w:rPr>
      <w:rFonts w:ascii="ˎ̥" w:eastAsia="宋体" w:hAnsi="ˎ̥" w:cs="宋体"/>
      <w:b/>
      <w:bCs/>
      <w:color w:val="FFFFFF"/>
      <w:kern w:val="0"/>
      <w:sz w:val="23"/>
      <w:szCs w:val="23"/>
    </w:rPr>
  </w:style>
  <w:style w:type="paragraph" w:customStyle="1" w:styleId="gjcx">
    <w:name w:val="gjcx"/>
    <w:basedOn w:val="a"/>
    <w:rsid w:val="00AA2634"/>
    <w:pPr>
      <w:widowControl/>
      <w:spacing w:before="100" w:beforeAutospacing="1" w:after="100" w:afterAutospacing="1"/>
      <w:jc w:val="left"/>
    </w:pPr>
    <w:rPr>
      <w:rFonts w:ascii="ˎ̥" w:eastAsia="宋体" w:hAnsi="ˎ̥" w:cs="宋体"/>
      <w:b/>
      <w:bCs/>
      <w:color w:val="3359CC"/>
      <w:kern w:val="0"/>
      <w:sz w:val="19"/>
      <w:szCs w:val="19"/>
    </w:rPr>
  </w:style>
  <w:style w:type="paragraph" w:customStyle="1" w:styleId="daty">
    <w:name w:val="daty"/>
    <w:basedOn w:val="a"/>
    <w:rsid w:val="00AA2634"/>
    <w:pPr>
      <w:widowControl/>
      <w:spacing w:before="100" w:beforeAutospacing="1" w:after="100" w:afterAutospacing="1"/>
      <w:jc w:val="left"/>
    </w:pPr>
    <w:rPr>
      <w:rFonts w:ascii="ˎ̥" w:eastAsia="宋体" w:hAnsi="ˎ̥" w:cs="宋体"/>
      <w:b/>
      <w:bCs/>
      <w:color w:val="000000"/>
      <w:kern w:val="0"/>
      <w:sz w:val="19"/>
      <w:szCs w:val="19"/>
    </w:rPr>
  </w:style>
  <w:style w:type="paragraph" w:customStyle="1" w:styleId="xgwzsj">
    <w:name w:val="xgwzsj"/>
    <w:basedOn w:val="a"/>
    <w:rsid w:val="00AA2634"/>
    <w:pPr>
      <w:widowControl/>
      <w:spacing w:before="100" w:beforeAutospacing="1" w:after="100" w:afterAutospacing="1"/>
      <w:jc w:val="left"/>
    </w:pPr>
    <w:rPr>
      <w:rFonts w:ascii="ˎ̥" w:eastAsia="宋体" w:hAnsi="ˎ̥" w:cs="宋体"/>
      <w:color w:val="6B6A6A"/>
      <w:kern w:val="0"/>
      <w:sz w:val="19"/>
      <w:szCs w:val="19"/>
    </w:rPr>
  </w:style>
  <w:style w:type="paragraph" w:customStyle="1" w:styleId="page">
    <w:name w:val="page"/>
    <w:basedOn w:val="a"/>
    <w:rsid w:val="00AA2634"/>
    <w:pPr>
      <w:widowControl/>
      <w:spacing w:before="100" w:beforeAutospacing="1" w:after="100" w:afterAutospacing="1"/>
      <w:jc w:val="left"/>
    </w:pPr>
    <w:rPr>
      <w:rFonts w:ascii="ˎ̥" w:eastAsia="宋体" w:hAnsi="ˎ̥" w:cs="宋体"/>
      <w:color w:val="1A5EBB"/>
      <w:kern w:val="0"/>
      <w:sz w:val="17"/>
      <w:szCs w:val="17"/>
    </w:rPr>
  </w:style>
  <w:style w:type="paragraph" w:customStyle="1" w:styleId="buttongo">
    <w:name w:val="buttongo"/>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txttitle1">
    <w:name w:val="txt_title1"/>
    <w:basedOn w:val="a"/>
    <w:rsid w:val="00AA2634"/>
    <w:pPr>
      <w:widowControl/>
      <w:spacing w:before="100" w:beforeAutospacing="1" w:after="100" w:afterAutospacing="1"/>
      <w:jc w:val="left"/>
    </w:pPr>
    <w:rPr>
      <w:rFonts w:ascii="̥_GB2312" w:eastAsia="宋体" w:hAnsi="̥_GB2312" w:cs="宋体"/>
      <w:b/>
      <w:bCs/>
      <w:color w:val="000000"/>
      <w:kern w:val="0"/>
      <w:sz w:val="37"/>
      <w:szCs w:val="37"/>
    </w:rPr>
  </w:style>
  <w:style w:type="paragraph" w:customStyle="1" w:styleId="txttitle2">
    <w:name w:val="txt_title2"/>
    <w:basedOn w:val="a"/>
    <w:rsid w:val="00AA2634"/>
    <w:pPr>
      <w:widowControl/>
      <w:spacing w:before="100" w:beforeAutospacing="1" w:after="100" w:afterAutospacing="1" w:line="480" w:lineRule="auto"/>
      <w:jc w:val="left"/>
    </w:pPr>
    <w:rPr>
      <w:rFonts w:ascii="̥_GB2312" w:eastAsia="宋体" w:hAnsi="̥_GB2312" w:cs="宋体"/>
      <w:b/>
      <w:bCs/>
      <w:color w:val="000000"/>
      <w:kern w:val="0"/>
      <w:sz w:val="29"/>
      <w:szCs w:val="29"/>
    </w:rPr>
  </w:style>
  <w:style w:type="paragraph" w:customStyle="1" w:styleId="txttitle3">
    <w:name w:val="txt_title3"/>
    <w:basedOn w:val="a"/>
    <w:rsid w:val="00AA2634"/>
    <w:pPr>
      <w:widowControl/>
      <w:spacing w:before="100" w:beforeAutospacing="1" w:after="100" w:afterAutospacing="1"/>
      <w:jc w:val="left"/>
    </w:pPr>
    <w:rPr>
      <w:rFonts w:ascii="ˎ̥" w:eastAsia="宋体" w:hAnsi="ˎ̥" w:cs="宋体"/>
      <w:b/>
      <w:bCs/>
      <w:kern w:val="0"/>
      <w:sz w:val="26"/>
      <w:szCs w:val="26"/>
    </w:rPr>
  </w:style>
  <w:style w:type="paragraph" w:customStyle="1" w:styleId="txttitle4">
    <w:name w:val="txt_title4"/>
    <w:basedOn w:val="a"/>
    <w:rsid w:val="00AA2634"/>
    <w:pPr>
      <w:widowControl/>
      <w:spacing w:before="100" w:beforeAutospacing="1" w:after="100" w:afterAutospacing="1"/>
      <w:jc w:val="left"/>
    </w:pPr>
    <w:rPr>
      <w:rFonts w:ascii="ڌ半" w:eastAsia="ڌ半" w:hAnsi="ˎ̥" w:cs="宋体"/>
      <w:b/>
      <w:bCs/>
      <w:color w:val="000000"/>
      <w:kern w:val="0"/>
      <w:sz w:val="34"/>
      <w:szCs w:val="34"/>
    </w:rPr>
  </w:style>
  <w:style w:type="paragraph" w:customStyle="1" w:styleId="title1">
    <w:name w:val="title1"/>
    <w:basedOn w:val="a"/>
    <w:rsid w:val="00AA2634"/>
    <w:pPr>
      <w:widowControl/>
      <w:spacing w:before="100" w:beforeAutospacing="1" w:after="100" w:afterAutospacing="1"/>
      <w:jc w:val="left"/>
    </w:pPr>
    <w:rPr>
      <w:rFonts w:ascii="ˎ̥" w:eastAsia="宋体" w:hAnsi="ˎ̥" w:cs="宋体"/>
      <w:b/>
      <w:bCs/>
      <w:color w:val="3359CC"/>
      <w:kern w:val="0"/>
      <w:sz w:val="17"/>
      <w:szCs w:val="17"/>
    </w:rPr>
  </w:style>
  <w:style w:type="paragraph" w:customStyle="1" w:styleId="bold">
    <w:name w:val="bold"/>
    <w:basedOn w:val="a"/>
    <w:rsid w:val="00AA2634"/>
    <w:pPr>
      <w:widowControl/>
      <w:spacing w:before="100" w:beforeAutospacing="1" w:after="100" w:afterAutospacing="1"/>
      <w:jc w:val="left"/>
    </w:pPr>
    <w:rPr>
      <w:rFonts w:ascii="ˎ̥" w:eastAsia="宋体" w:hAnsi="ˎ̥" w:cs="宋体"/>
      <w:b/>
      <w:bCs/>
      <w:color w:val="203880"/>
      <w:kern w:val="0"/>
      <w:sz w:val="24"/>
      <w:szCs w:val="24"/>
    </w:rPr>
  </w:style>
  <w:style w:type="paragraph" w:customStyle="1" w:styleId="wldlink">
    <w:name w:val="wld_link"/>
    <w:basedOn w:val="a"/>
    <w:rsid w:val="00AA2634"/>
    <w:pPr>
      <w:widowControl/>
      <w:spacing w:before="100" w:beforeAutospacing="1" w:after="100" w:afterAutospacing="1"/>
      <w:jc w:val="left"/>
    </w:pPr>
    <w:rPr>
      <w:rFonts w:ascii="ˎ̥" w:eastAsia="宋体" w:hAnsi="ˎ̥" w:cs="宋体"/>
      <w:kern w:val="0"/>
      <w:sz w:val="17"/>
      <w:szCs w:val="17"/>
    </w:rPr>
  </w:style>
  <w:style w:type="paragraph" w:customStyle="1" w:styleId="wldmenu">
    <w:name w:val="wld_menu"/>
    <w:basedOn w:val="a"/>
    <w:rsid w:val="00AA2634"/>
    <w:pPr>
      <w:widowControl/>
      <w:spacing w:before="100" w:beforeAutospacing="1" w:after="100" w:afterAutospacing="1"/>
      <w:jc w:val="left"/>
    </w:pPr>
    <w:rPr>
      <w:rFonts w:ascii="ˎ̥" w:eastAsia="宋体" w:hAnsi="ˎ̥" w:cs="宋体"/>
      <w:b/>
      <w:bCs/>
      <w:kern w:val="0"/>
      <w:sz w:val="20"/>
      <w:szCs w:val="20"/>
    </w:rPr>
  </w:style>
  <w:style w:type="paragraph" w:customStyle="1" w:styleId="2indextitle">
    <w:name w:val="2index_title"/>
    <w:basedOn w:val="a"/>
    <w:rsid w:val="00AA2634"/>
    <w:pPr>
      <w:widowControl/>
      <w:spacing w:before="100" w:beforeAutospacing="1" w:after="100" w:afterAutospacing="1"/>
      <w:jc w:val="left"/>
    </w:pPr>
    <w:rPr>
      <w:rFonts w:ascii="ˎ̥" w:eastAsia="宋体" w:hAnsi="ˎ̥" w:cs="宋体"/>
      <w:b/>
      <w:bCs/>
      <w:color w:val="FFFFFF"/>
      <w:kern w:val="0"/>
      <w:sz w:val="20"/>
      <w:szCs w:val="20"/>
    </w:rPr>
  </w:style>
  <w:style w:type="paragraph" w:customStyle="1" w:styleId="font14">
    <w:name w:val="font14"/>
    <w:basedOn w:val="a"/>
    <w:rsid w:val="00AA2634"/>
    <w:pPr>
      <w:widowControl/>
      <w:spacing w:before="100" w:beforeAutospacing="1" w:after="100" w:afterAutospacing="1"/>
      <w:jc w:val="left"/>
    </w:pPr>
    <w:rPr>
      <w:rFonts w:ascii="ˎ̥" w:eastAsia="宋体" w:hAnsi="ˎ̥" w:cs="宋体"/>
      <w:kern w:val="0"/>
      <w:sz w:val="20"/>
      <w:szCs w:val="20"/>
    </w:rPr>
  </w:style>
  <w:style w:type="paragraph" w:customStyle="1" w:styleId="font13">
    <w:name w:val="font13"/>
    <w:basedOn w:val="a"/>
    <w:rsid w:val="00AA2634"/>
    <w:pPr>
      <w:widowControl/>
      <w:spacing w:before="100" w:beforeAutospacing="1" w:after="100" w:afterAutospacing="1"/>
      <w:jc w:val="left"/>
    </w:pPr>
    <w:rPr>
      <w:rFonts w:ascii="ˎ̥" w:eastAsia="宋体" w:hAnsi="ˎ̥" w:cs="宋体"/>
      <w:kern w:val="0"/>
      <w:sz w:val="20"/>
      <w:szCs w:val="20"/>
    </w:rPr>
  </w:style>
  <w:style w:type="paragraph" w:customStyle="1" w:styleId="font13new">
    <w:name w:val="font13_new"/>
    <w:basedOn w:val="a"/>
    <w:rsid w:val="00AA2634"/>
    <w:pPr>
      <w:widowControl/>
      <w:spacing w:before="100" w:beforeAutospacing="1" w:after="100" w:afterAutospacing="1"/>
      <w:jc w:val="left"/>
    </w:pPr>
    <w:rPr>
      <w:rFonts w:ascii="̥" w:eastAsia="宋体" w:hAnsi="̥" w:cs="宋体"/>
      <w:kern w:val="0"/>
      <w:sz w:val="19"/>
      <w:szCs w:val="19"/>
    </w:rPr>
  </w:style>
  <w:style w:type="paragraph" w:customStyle="1" w:styleId="font16">
    <w:name w:val="font16"/>
    <w:basedOn w:val="a"/>
    <w:rsid w:val="00AA2634"/>
    <w:pPr>
      <w:widowControl/>
      <w:spacing w:before="100" w:beforeAutospacing="1" w:after="100" w:afterAutospacing="1"/>
      <w:jc w:val="left"/>
    </w:pPr>
    <w:rPr>
      <w:rFonts w:ascii="ˎ̥" w:eastAsia="宋体" w:hAnsi="ˎ̥" w:cs="宋体"/>
      <w:kern w:val="0"/>
      <w:sz w:val="23"/>
      <w:szCs w:val="23"/>
    </w:rPr>
  </w:style>
  <w:style w:type="paragraph" w:customStyle="1" w:styleId="yearselect">
    <w:name w:val="yearselect"/>
    <w:basedOn w:val="a"/>
    <w:rsid w:val="00AA2634"/>
    <w:pPr>
      <w:widowControl/>
      <w:spacing w:before="100" w:beforeAutospacing="1" w:after="100" w:afterAutospacing="1"/>
      <w:jc w:val="left"/>
    </w:pPr>
    <w:rPr>
      <w:rFonts w:ascii="ˎ̥" w:eastAsia="宋体" w:hAnsi="ˎ̥" w:cs="宋体"/>
      <w:color w:val="3A0000"/>
      <w:kern w:val="0"/>
      <w:sz w:val="20"/>
      <w:szCs w:val="20"/>
    </w:rPr>
  </w:style>
  <w:style w:type="paragraph" w:customStyle="1" w:styleId="zcfbxlselect">
    <w:name w:val="zcfbxlselect"/>
    <w:basedOn w:val="a"/>
    <w:rsid w:val="00AA2634"/>
    <w:pPr>
      <w:widowControl/>
      <w:spacing w:before="100" w:beforeAutospacing="1" w:after="100" w:afterAutospacing="1"/>
      <w:jc w:val="left"/>
    </w:pPr>
    <w:rPr>
      <w:rFonts w:ascii="ˎ̥" w:eastAsia="宋体" w:hAnsi="ˎ̥" w:cs="宋体"/>
      <w:b/>
      <w:bCs/>
      <w:color w:val="2C0086"/>
      <w:kern w:val="0"/>
      <w:szCs w:val="21"/>
    </w:rPr>
  </w:style>
  <w:style w:type="paragraph" w:customStyle="1" w:styleId="search2b">
    <w:name w:val="search2b"/>
    <w:basedOn w:val="a"/>
    <w:rsid w:val="00AA2634"/>
    <w:pPr>
      <w:widowControl/>
      <w:pBdr>
        <w:top w:val="single" w:sz="2" w:space="1" w:color="000000"/>
        <w:left w:val="single" w:sz="2" w:space="0" w:color="000000"/>
        <w:bottom w:val="single" w:sz="2" w:space="0" w:color="000000"/>
        <w:right w:val="single" w:sz="2" w:space="0" w:color="000000"/>
      </w:pBdr>
      <w:shd w:val="clear" w:color="auto" w:fill="EDF3FF"/>
      <w:jc w:val="left"/>
      <w:textAlignment w:val="top"/>
    </w:pPr>
    <w:rPr>
      <w:rFonts w:ascii="ˎ̥" w:eastAsia="宋体" w:hAnsi="ˎ̥" w:cs="宋体"/>
      <w:color w:val="000000"/>
      <w:kern w:val="0"/>
      <w:sz w:val="17"/>
      <w:szCs w:val="17"/>
    </w:rPr>
  </w:style>
  <w:style w:type="paragraph" w:customStyle="1" w:styleId="search2c">
    <w:name w:val="search2c"/>
    <w:basedOn w:val="a"/>
    <w:rsid w:val="00AA2634"/>
    <w:pPr>
      <w:widowControl/>
      <w:pBdr>
        <w:top w:val="single" w:sz="2" w:space="1" w:color="000000"/>
        <w:left w:val="single" w:sz="2" w:space="0" w:color="000000"/>
        <w:bottom w:val="single" w:sz="2" w:space="0" w:color="000000"/>
        <w:right w:val="single" w:sz="2" w:space="0" w:color="000000"/>
      </w:pBdr>
      <w:shd w:val="clear" w:color="auto" w:fill="EDF3FF"/>
      <w:jc w:val="left"/>
      <w:textAlignment w:val="top"/>
    </w:pPr>
    <w:rPr>
      <w:rFonts w:ascii="ˎ̥" w:eastAsia="宋体" w:hAnsi="ˎ̥" w:cs="宋体"/>
      <w:color w:val="000000"/>
      <w:kern w:val="0"/>
      <w:sz w:val="17"/>
      <w:szCs w:val="17"/>
    </w:rPr>
  </w:style>
  <w:style w:type="paragraph" w:customStyle="1" w:styleId="buttonwhitebg">
    <w:name w:val="button_whitebg"/>
    <w:basedOn w:val="a"/>
    <w:rsid w:val="00AA2634"/>
    <w:pPr>
      <w:widowControl/>
      <w:pBdr>
        <w:top w:val="single" w:sz="2" w:space="1" w:color="000000"/>
        <w:left w:val="single" w:sz="2" w:space="0" w:color="000000"/>
        <w:bottom w:val="single" w:sz="2" w:space="0" w:color="000000"/>
        <w:right w:val="single" w:sz="2" w:space="0" w:color="000000"/>
      </w:pBdr>
      <w:shd w:val="clear" w:color="auto" w:fill="FFFFFF"/>
      <w:jc w:val="left"/>
      <w:textAlignment w:val="top"/>
    </w:pPr>
    <w:rPr>
      <w:rFonts w:ascii="ˎ̥" w:eastAsia="宋体" w:hAnsi="ˎ̥" w:cs="宋体"/>
      <w:color w:val="000000"/>
      <w:kern w:val="0"/>
      <w:sz w:val="17"/>
      <w:szCs w:val="17"/>
    </w:rPr>
  </w:style>
  <w:style w:type="paragraph" w:customStyle="1" w:styleId="dsz">
    <w:name w:val="dsz"/>
    <w:basedOn w:val="a"/>
    <w:rsid w:val="00AA2634"/>
    <w:pPr>
      <w:widowControl/>
      <w:spacing w:before="100" w:beforeAutospacing="1" w:after="100" w:afterAutospacing="1"/>
      <w:jc w:val="left"/>
    </w:pPr>
    <w:rPr>
      <w:rFonts w:ascii="ˎ̥" w:eastAsia="宋体" w:hAnsi="ˎ̥" w:cs="宋体"/>
      <w:color w:val="FF9933"/>
      <w:kern w:val="0"/>
      <w:sz w:val="24"/>
      <w:szCs w:val="24"/>
    </w:rPr>
  </w:style>
  <w:style w:type="paragraph" w:customStyle="1" w:styleId="zljc01">
    <w:name w:val="zljc_01"/>
    <w:basedOn w:val="a"/>
    <w:rsid w:val="00AA2634"/>
    <w:pPr>
      <w:widowControl/>
      <w:pBdr>
        <w:left w:val="single" w:sz="6" w:space="0" w:color="CCCCCC"/>
        <w:bottom w:val="single" w:sz="6" w:space="0" w:color="CCCCCC"/>
      </w:pBdr>
      <w:shd w:val="clear" w:color="auto" w:fill="EFEFEF"/>
      <w:spacing w:before="100" w:beforeAutospacing="1" w:after="100" w:afterAutospacing="1"/>
      <w:jc w:val="left"/>
    </w:pPr>
    <w:rPr>
      <w:rFonts w:ascii="ˎ̥" w:eastAsia="宋体" w:hAnsi="ˎ̥" w:cs="宋体"/>
      <w:kern w:val="0"/>
      <w:sz w:val="24"/>
      <w:szCs w:val="24"/>
    </w:rPr>
  </w:style>
  <w:style w:type="paragraph" w:customStyle="1" w:styleId="zljc02">
    <w:name w:val="zljc_02"/>
    <w:basedOn w:val="a"/>
    <w:rsid w:val="00AA2634"/>
    <w:pPr>
      <w:widowControl/>
      <w:pBdr>
        <w:right w:val="single" w:sz="6" w:space="0" w:color="CCCCCC"/>
      </w:pBdr>
      <w:spacing w:before="100" w:beforeAutospacing="1" w:after="100" w:afterAutospacing="1"/>
      <w:jc w:val="left"/>
    </w:pPr>
    <w:rPr>
      <w:rFonts w:ascii="ˎ̥" w:eastAsia="宋体" w:hAnsi="ˎ̥" w:cs="宋体"/>
      <w:kern w:val="0"/>
      <w:sz w:val="24"/>
      <w:szCs w:val="24"/>
    </w:rPr>
  </w:style>
  <w:style w:type="paragraph" w:customStyle="1" w:styleId="zljc03">
    <w:name w:val="zljc_03"/>
    <w:basedOn w:val="a"/>
    <w:rsid w:val="00AA2634"/>
    <w:pPr>
      <w:widowControl/>
      <w:spacing w:before="100" w:beforeAutospacing="1" w:after="100" w:afterAutospacing="1"/>
      <w:jc w:val="left"/>
    </w:pPr>
    <w:rPr>
      <w:rFonts w:ascii="ˎ̥" w:eastAsia="宋体" w:hAnsi="ˎ̥" w:cs="宋体"/>
      <w:color w:val="316AC1"/>
      <w:kern w:val="0"/>
      <w:sz w:val="20"/>
      <w:szCs w:val="20"/>
    </w:rPr>
  </w:style>
  <w:style w:type="paragraph" w:customStyle="1" w:styleId="zljc04">
    <w:name w:val="zljc_04"/>
    <w:basedOn w:val="a"/>
    <w:rsid w:val="00AA2634"/>
    <w:pPr>
      <w:widowControl/>
      <w:pBdr>
        <w:left w:val="single" w:sz="6" w:space="0" w:color="CCCCCC"/>
        <w:bottom w:val="single" w:sz="6" w:space="0" w:color="CCCCCC"/>
        <w:right w:val="single" w:sz="6" w:space="0" w:color="CCCCCC"/>
      </w:pBdr>
      <w:spacing w:before="100" w:beforeAutospacing="1" w:after="100" w:afterAutospacing="1"/>
      <w:jc w:val="left"/>
    </w:pPr>
    <w:rPr>
      <w:rFonts w:ascii="ˎ̥" w:eastAsia="宋体" w:hAnsi="ˎ̥" w:cs="宋体"/>
      <w:kern w:val="0"/>
      <w:sz w:val="24"/>
      <w:szCs w:val="24"/>
    </w:rPr>
  </w:style>
  <w:style w:type="paragraph" w:customStyle="1" w:styleId="bjbj">
    <w:name w:val="bj_bj"/>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zljc05">
    <w:name w:val="zljc_05"/>
    <w:basedOn w:val="a"/>
    <w:rsid w:val="00AA2634"/>
    <w:pPr>
      <w:widowControl/>
      <w:spacing w:before="100" w:beforeAutospacing="1" w:after="100" w:afterAutospacing="1"/>
      <w:jc w:val="left"/>
    </w:pPr>
    <w:rPr>
      <w:rFonts w:ascii="ˎ̥" w:eastAsia="宋体" w:hAnsi="ˎ̥" w:cs="宋体"/>
      <w:color w:val="FF0000"/>
      <w:kern w:val="0"/>
      <w:sz w:val="24"/>
      <w:szCs w:val="24"/>
    </w:rPr>
  </w:style>
  <w:style w:type="paragraph" w:customStyle="1" w:styleId="zljc05bak">
    <w:name w:val="zljc_05bak"/>
    <w:basedOn w:val="a"/>
    <w:rsid w:val="00AA2634"/>
    <w:pPr>
      <w:widowControl/>
      <w:spacing w:before="100" w:beforeAutospacing="1" w:after="100" w:afterAutospacing="1"/>
      <w:jc w:val="left"/>
    </w:pPr>
    <w:rPr>
      <w:rFonts w:ascii="ˎ̥" w:eastAsia="宋体" w:hAnsi="ˎ̥" w:cs="宋体"/>
      <w:color w:val="0527AC"/>
      <w:kern w:val="0"/>
      <w:sz w:val="24"/>
      <w:szCs w:val="24"/>
    </w:rPr>
  </w:style>
  <w:style w:type="paragraph" w:customStyle="1" w:styleId="ditu">
    <w:name w:val="ditu"/>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ditu01">
    <w:name w:val="ditu_01"/>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ditu01bak">
    <w:name w:val="ditu_01bak"/>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wsdc">
    <w:name w:val="wsdc"/>
    <w:basedOn w:val="a"/>
    <w:rsid w:val="00AA2634"/>
    <w:pPr>
      <w:widowControl/>
      <w:pBdr>
        <w:left w:val="single" w:sz="6" w:space="0" w:color="5499D0"/>
        <w:bottom w:val="single" w:sz="6" w:space="0" w:color="5499D0"/>
        <w:right w:val="single" w:sz="6" w:space="0" w:color="5499D0"/>
      </w:pBdr>
      <w:spacing w:before="100" w:beforeAutospacing="1" w:after="100" w:afterAutospacing="1"/>
      <w:jc w:val="left"/>
    </w:pPr>
    <w:rPr>
      <w:rFonts w:ascii="ˎ̥" w:eastAsia="宋体" w:hAnsi="ˎ̥" w:cs="宋体"/>
      <w:kern w:val="0"/>
      <w:sz w:val="24"/>
      <w:szCs w:val="24"/>
    </w:rPr>
  </w:style>
  <w:style w:type="paragraph" w:customStyle="1" w:styleId="wsdc01">
    <w:name w:val="wsdc_01"/>
    <w:basedOn w:val="a"/>
    <w:rsid w:val="00AA2634"/>
    <w:pPr>
      <w:widowControl/>
      <w:spacing w:before="100" w:beforeAutospacing="1" w:after="100" w:afterAutospacing="1"/>
      <w:jc w:val="left"/>
    </w:pPr>
    <w:rPr>
      <w:rFonts w:ascii="ˎ̥" w:eastAsia="宋体" w:hAnsi="ˎ̥" w:cs="宋体"/>
      <w:kern w:val="0"/>
      <w:sz w:val="19"/>
      <w:szCs w:val="19"/>
    </w:rPr>
  </w:style>
  <w:style w:type="paragraph" w:customStyle="1" w:styleId="time01">
    <w:name w:val="time_01"/>
    <w:basedOn w:val="a"/>
    <w:rsid w:val="00AA2634"/>
    <w:pPr>
      <w:widowControl/>
      <w:spacing w:before="100" w:beforeAutospacing="1" w:after="100" w:afterAutospacing="1"/>
      <w:jc w:val="left"/>
    </w:pPr>
    <w:rPr>
      <w:rFonts w:ascii="ˎ̥" w:eastAsia="宋体" w:hAnsi="ˎ̥" w:cs="宋体"/>
      <w:color w:val="0325AB"/>
      <w:kern w:val="0"/>
      <w:sz w:val="17"/>
      <w:szCs w:val="17"/>
    </w:rPr>
  </w:style>
  <w:style w:type="paragraph" w:customStyle="1" w:styleId="zljccs">
    <w:name w:val="zljccs"/>
    <w:basedOn w:val="a"/>
    <w:rsid w:val="00AA2634"/>
    <w:pPr>
      <w:widowControl/>
      <w:spacing w:before="100" w:beforeAutospacing="1" w:after="100" w:afterAutospacing="1"/>
      <w:jc w:val="left"/>
    </w:pPr>
    <w:rPr>
      <w:rFonts w:ascii="ˎ̥" w:eastAsia="宋体" w:hAnsi="ˎ̥" w:cs="宋体"/>
      <w:b/>
      <w:bCs/>
      <w:color w:val="165CBC"/>
      <w:kern w:val="0"/>
      <w:sz w:val="23"/>
      <w:szCs w:val="23"/>
    </w:rPr>
  </w:style>
  <w:style w:type="paragraph" w:customStyle="1" w:styleId="border">
    <w:name w:val="border"/>
    <w:basedOn w:val="a"/>
    <w:rsid w:val="00AA2634"/>
    <w:pPr>
      <w:widowControl/>
      <w:pBdr>
        <w:top w:val="single" w:sz="6" w:space="1" w:color="D2712D"/>
        <w:left w:val="single" w:sz="6" w:space="1" w:color="D2712D"/>
        <w:bottom w:val="single" w:sz="6" w:space="1" w:color="D2712D"/>
        <w:right w:val="single" w:sz="6" w:space="1" w:color="D2712D"/>
      </w:pBdr>
      <w:spacing w:before="100" w:beforeAutospacing="1" w:after="100" w:afterAutospacing="1"/>
      <w:jc w:val="left"/>
    </w:pPr>
    <w:rPr>
      <w:rFonts w:ascii="ˎ̥" w:eastAsia="宋体" w:hAnsi="ˎ̥" w:cs="宋体"/>
      <w:kern w:val="0"/>
      <w:sz w:val="24"/>
      <w:szCs w:val="24"/>
    </w:rPr>
  </w:style>
  <w:style w:type="paragraph" w:customStyle="1" w:styleId="zi">
    <w:name w:val="zi"/>
    <w:basedOn w:val="a"/>
    <w:rsid w:val="00AA2634"/>
    <w:pPr>
      <w:widowControl/>
      <w:shd w:val="clear" w:color="auto" w:fill="FDF9EE"/>
      <w:spacing w:before="100" w:beforeAutospacing="1" w:after="100" w:afterAutospacing="1"/>
      <w:jc w:val="left"/>
    </w:pPr>
    <w:rPr>
      <w:rFonts w:ascii="ˎ̥" w:eastAsia="宋体" w:hAnsi="ˎ̥" w:cs="宋体"/>
      <w:kern w:val="0"/>
      <w:sz w:val="24"/>
      <w:szCs w:val="24"/>
    </w:rPr>
  </w:style>
  <w:style w:type="paragraph" w:customStyle="1" w:styleId="zi1">
    <w:name w:val="zi1"/>
    <w:basedOn w:val="a"/>
    <w:rsid w:val="00AA2634"/>
    <w:pPr>
      <w:widowControl/>
      <w:shd w:val="clear" w:color="auto" w:fill="F3F8FE"/>
      <w:spacing w:before="100" w:beforeAutospacing="1" w:after="100" w:afterAutospacing="1"/>
      <w:jc w:val="left"/>
    </w:pPr>
    <w:rPr>
      <w:rFonts w:ascii="ˎ̥" w:eastAsia="宋体" w:hAnsi="ˎ̥" w:cs="宋体"/>
      <w:kern w:val="0"/>
      <w:sz w:val="24"/>
      <w:szCs w:val="24"/>
    </w:rPr>
  </w:style>
  <w:style w:type="paragraph" w:customStyle="1" w:styleId="xxly">
    <w:name w:val="xxly"/>
    <w:basedOn w:val="a"/>
    <w:rsid w:val="00AA2634"/>
    <w:pPr>
      <w:widowControl/>
      <w:spacing w:before="100" w:beforeAutospacing="1" w:after="100" w:afterAutospacing="1"/>
      <w:jc w:val="left"/>
    </w:pPr>
    <w:rPr>
      <w:rFonts w:ascii="ˎ̥" w:eastAsia="宋体" w:hAnsi="ˎ̥" w:cs="宋体"/>
      <w:kern w:val="0"/>
      <w:sz w:val="20"/>
      <w:szCs w:val="20"/>
    </w:rPr>
  </w:style>
  <w:style w:type="paragraph" w:customStyle="1" w:styleId="txt">
    <w:name w:val="txt"/>
    <w:basedOn w:val="a"/>
    <w:rsid w:val="00AA2634"/>
    <w:pPr>
      <w:widowControl/>
      <w:spacing w:before="100" w:beforeAutospacing="1" w:after="100" w:afterAutospacing="1"/>
      <w:jc w:val="left"/>
    </w:pPr>
    <w:rPr>
      <w:rFonts w:ascii="ˎ̥" w:eastAsia="宋体" w:hAnsi="ˎ̥" w:cs="宋体"/>
      <w:kern w:val="0"/>
      <w:szCs w:val="21"/>
    </w:rPr>
  </w:style>
  <w:style w:type="paragraph" w:customStyle="1" w:styleId="titsj">
    <w:name w:val="titsj"/>
    <w:basedOn w:val="a"/>
    <w:rsid w:val="00AA2634"/>
    <w:pPr>
      <w:widowControl/>
      <w:spacing w:before="100" w:beforeAutospacing="1" w:after="100" w:afterAutospacing="1"/>
      <w:jc w:val="left"/>
    </w:pPr>
    <w:rPr>
      <w:rFonts w:ascii="ˎ̥" w:eastAsia="宋体" w:hAnsi="ˎ̥" w:cs="宋体"/>
      <w:kern w:val="0"/>
      <w:szCs w:val="21"/>
    </w:rPr>
  </w:style>
  <w:style w:type="paragraph" w:customStyle="1" w:styleId="biaoti">
    <w:name w:val="biaoti"/>
    <w:basedOn w:val="a"/>
    <w:rsid w:val="00AA2634"/>
    <w:pPr>
      <w:widowControl/>
      <w:spacing w:before="100" w:beforeAutospacing="1" w:after="100" w:afterAutospacing="1"/>
      <w:jc w:val="left"/>
    </w:pPr>
    <w:rPr>
      <w:rFonts w:ascii="ˎ̥" w:eastAsia="宋体" w:hAnsi="ˎ̥" w:cs="宋体"/>
      <w:kern w:val="0"/>
      <w:sz w:val="34"/>
      <w:szCs w:val="34"/>
    </w:rPr>
  </w:style>
  <w:style w:type="paragraph" w:customStyle="1" w:styleId="menu">
    <w:name w:val="menu"/>
    <w:basedOn w:val="a"/>
    <w:rsid w:val="00AA2634"/>
    <w:pPr>
      <w:widowControl/>
      <w:spacing w:before="100" w:beforeAutospacing="1" w:after="100" w:afterAutospacing="1"/>
      <w:jc w:val="left"/>
    </w:pPr>
    <w:rPr>
      <w:rFonts w:ascii="ˎ̥" w:eastAsia="宋体" w:hAnsi="ˎ̥" w:cs="宋体"/>
      <w:kern w:val="0"/>
      <w:sz w:val="24"/>
      <w:szCs w:val="24"/>
      <w:u w:val="single"/>
    </w:rPr>
  </w:style>
  <w:style w:type="paragraph" w:customStyle="1" w:styleId="jgku">
    <w:name w:val="jgku"/>
    <w:basedOn w:val="a"/>
    <w:rsid w:val="00AA2634"/>
    <w:pPr>
      <w:widowControl/>
      <w:shd w:val="clear" w:color="auto" w:fill="FCFDEB"/>
      <w:spacing w:before="100" w:beforeAutospacing="1" w:after="100" w:afterAutospacing="1"/>
      <w:jc w:val="left"/>
    </w:pPr>
    <w:rPr>
      <w:rFonts w:ascii="ˎ̥" w:eastAsia="宋体" w:hAnsi="ˎ̥" w:cs="宋体"/>
      <w:b/>
      <w:bCs/>
      <w:kern w:val="0"/>
      <w:szCs w:val="21"/>
    </w:rPr>
  </w:style>
  <w:style w:type="paragraph" w:customStyle="1" w:styleId="jgkulink">
    <w:name w:val="jgkulink"/>
    <w:basedOn w:val="a"/>
    <w:rsid w:val="00AA2634"/>
    <w:pPr>
      <w:widowControl/>
      <w:spacing w:before="100" w:beforeAutospacing="1" w:after="100" w:afterAutospacing="1"/>
      <w:jc w:val="left"/>
    </w:pPr>
    <w:rPr>
      <w:rFonts w:ascii="ˎ̥" w:eastAsia="宋体" w:hAnsi="ˎ̥" w:cs="宋体"/>
      <w:b/>
      <w:bCs/>
      <w:color w:val="000000"/>
      <w:kern w:val="0"/>
      <w:szCs w:val="21"/>
    </w:rPr>
  </w:style>
  <w:style w:type="paragraph" w:customStyle="1" w:styleId="zztitle1">
    <w:name w:val="zztitle1"/>
    <w:basedOn w:val="a"/>
    <w:rsid w:val="00AA2634"/>
    <w:pPr>
      <w:widowControl/>
      <w:spacing w:before="100" w:beforeAutospacing="1" w:after="100" w:afterAutospacing="1"/>
      <w:jc w:val="left"/>
    </w:pPr>
    <w:rPr>
      <w:rFonts w:ascii="ˎ̥" w:eastAsia="宋体" w:hAnsi="ˎ̥" w:cs="宋体"/>
      <w:b/>
      <w:bCs/>
      <w:color w:val="FFFFFF"/>
      <w:kern w:val="0"/>
      <w:sz w:val="20"/>
      <w:szCs w:val="20"/>
    </w:rPr>
  </w:style>
  <w:style w:type="paragraph" w:customStyle="1" w:styleId="zzmore1">
    <w:name w:val="zzmore1"/>
    <w:basedOn w:val="a"/>
    <w:rsid w:val="00AA2634"/>
    <w:pPr>
      <w:widowControl/>
      <w:spacing w:before="100" w:beforeAutospacing="1" w:after="100" w:afterAutospacing="1"/>
      <w:jc w:val="left"/>
    </w:pPr>
    <w:rPr>
      <w:rFonts w:ascii="ˎ̥" w:eastAsia="宋体" w:hAnsi="ˎ̥" w:cs="宋体"/>
      <w:kern w:val="0"/>
      <w:sz w:val="17"/>
      <w:szCs w:val="17"/>
    </w:rPr>
  </w:style>
  <w:style w:type="paragraph" w:customStyle="1" w:styleId="jianjie1">
    <w:name w:val="jianjie_1"/>
    <w:basedOn w:val="a"/>
    <w:rsid w:val="00AA2634"/>
    <w:pPr>
      <w:widowControl/>
      <w:jc w:val="left"/>
    </w:pPr>
    <w:rPr>
      <w:rFonts w:ascii="ˎ̥" w:eastAsia="宋体" w:hAnsi="ˎ̥" w:cs="宋体"/>
      <w:kern w:val="0"/>
      <w:sz w:val="24"/>
      <w:szCs w:val="24"/>
    </w:rPr>
  </w:style>
  <w:style w:type="paragraph" w:customStyle="1" w:styleId="jianjie2">
    <w:name w:val="jianjie_2"/>
    <w:basedOn w:val="a"/>
    <w:rsid w:val="00AA2634"/>
    <w:pPr>
      <w:widowControl/>
      <w:jc w:val="left"/>
    </w:pPr>
    <w:rPr>
      <w:rFonts w:ascii="ˎ̥" w:eastAsia="宋体" w:hAnsi="ˎ̥" w:cs="宋体"/>
      <w:color w:val="0033CC"/>
      <w:kern w:val="0"/>
      <w:sz w:val="17"/>
      <w:szCs w:val="17"/>
    </w:rPr>
  </w:style>
  <w:style w:type="paragraph" w:customStyle="1" w:styleId="jianjie3">
    <w:name w:val="jianjie_3"/>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gwybt">
    <w:name w:val="gwy_bt"/>
    <w:basedOn w:val="a"/>
    <w:rsid w:val="00AA2634"/>
    <w:pPr>
      <w:widowControl/>
      <w:spacing w:before="100" w:beforeAutospacing="1" w:after="100" w:afterAutospacing="1"/>
      <w:jc w:val="left"/>
    </w:pPr>
    <w:rPr>
      <w:rFonts w:ascii="ˎ̥" w:eastAsia="宋体" w:hAnsi="ˎ̥" w:cs="宋体"/>
      <w:b/>
      <w:bCs/>
      <w:color w:val="505573"/>
      <w:kern w:val="0"/>
      <w:szCs w:val="21"/>
    </w:rPr>
  </w:style>
  <w:style w:type="paragraph" w:customStyle="1" w:styleId="tabright">
    <w:name w:val="tab_right"/>
    <w:basedOn w:val="a"/>
    <w:rsid w:val="00AA2634"/>
    <w:pPr>
      <w:widowControl/>
      <w:spacing w:before="86"/>
      <w:ind w:right="29"/>
      <w:jc w:val="left"/>
    </w:pPr>
    <w:rPr>
      <w:rFonts w:ascii="ˎ̥" w:eastAsia="宋体" w:hAnsi="ˎ̥" w:cs="宋体"/>
      <w:kern w:val="0"/>
      <w:sz w:val="24"/>
      <w:szCs w:val="24"/>
    </w:rPr>
  </w:style>
  <w:style w:type="paragraph" w:customStyle="1" w:styleId="tabmenu">
    <w:name w:val="tab_menu"/>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tabmenuon0">
    <w:name w:val="tab_menuon0"/>
    <w:basedOn w:val="a"/>
    <w:rsid w:val="00AA2634"/>
    <w:pPr>
      <w:widowControl/>
      <w:spacing w:line="456" w:lineRule="atLeast"/>
      <w:jc w:val="center"/>
    </w:pPr>
    <w:rPr>
      <w:rFonts w:ascii="ˎ̥" w:eastAsia="宋体" w:hAnsi="ˎ̥" w:cs="宋体"/>
      <w:b/>
      <w:bCs/>
      <w:color w:val="4250A9"/>
      <w:kern w:val="0"/>
      <w:sz w:val="20"/>
      <w:szCs w:val="20"/>
    </w:rPr>
  </w:style>
  <w:style w:type="paragraph" w:customStyle="1" w:styleId="tabmenuon1">
    <w:name w:val="tab_menuon1"/>
    <w:basedOn w:val="a"/>
    <w:rsid w:val="00AA2634"/>
    <w:pPr>
      <w:widowControl/>
      <w:spacing w:line="456" w:lineRule="atLeast"/>
      <w:jc w:val="center"/>
    </w:pPr>
    <w:rPr>
      <w:rFonts w:ascii="ˎ̥" w:eastAsia="宋体" w:hAnsi="ˎ̥" w:cs="宋体"/>
      <w:b/>
      <w:bCs/>
      <w:color w:val="4250A9"/>
      <w:kern w:val="0"/>
      <w:sz w:val="20"/>
      <w:szCs w:val="20"/>
    </w:rPr>
  </w:style>
  <w:style w:type="paragraph" w:customStyle="1" w:styleId="tabmenuon2">
    <w:name w:val="tab_menuon2"/>
    <w:basedOn w:val="a"/>
    <w:rsid w:val="00AA2634"/>
    <w:pPr>
      <w:widowControl/>
      <w:spacing w:line="456" w:lineRule="atLeast"/>
      <w:jc w:val="center"/>
    </w:pPr>
    <w:rPr>
      <w:rFonts w:ascii="ˎ̥" w:eastAsia="宋体" w:hAnsi="ˎ̥" w:cs="宋体"/>
      <w:b/>
      <w:bCs/>
      <w:color w:val="4250A9"/>
      <w:kern w:val="0"/>
      <w:sz w:val="20"/>
      <w:szCs w:val="20"/>
    </w:rPr>
  </w:style>
  <w:style w:type="paragraph" w:customStyle="1" w:styleId="tabmenuon3">
    <w:name w:val="tab_menuon3"/>
    <w:basedOn w:val="a"/>
    <w:rsid w:val="00AA2634"/>
    <w:pPr>
      <w:widowControl/>
      <w:spacing w:line="456" w:lineRule="atLeast"/>
      <w:jc w:val="center"/>
    </w:pPr>
    <w:rPr>
      <w:rFonts w:ascii="ˎ̥" w:eastAsia="宋体" w:hAnsi="ˎ̥" w:cs="宋体"/>
      <w:b/>
      <w:bCs/>
      <w:color w:val="4250A9"/>
      <w:kern w:val="0"/>
      <w:sz w:val="20"/>
      <w:szCs w:val="20"/>
    </w:rPr>
  </w:style>
  <w:style w:type="paragraph" w:customStyle="1" w:styleId="tabmenuoff">
    <w:name w:val="tab_menuoff"/>
    <w:basedOn w:val="a"/>
    <w:rsid w:val="00AA2634"/>
    <w:pPr>
      <w:widowControl/>
      <w:spacing w:line="399" w:lineRule="atLeast"/>
      <w:jc w:val="center"/>
    </w:pPr>
    <w:rPr>
      <w:rFonts w:ascii="ˎ̥" w:eastAsia="宋体" w:hAnsi="ˎ̥" w:cs="宋体"/>
      <w:b/>
      <w:bCs/>
      <w:color w:val="868CB3"/>
      <w:kern w:val="0"/>
      <w:sz w:val="17"/>
      <w:szCs w:val="17"/>
    </w:rPr>
  </w:style>
  <w:style w:type="paragraph" w:customStyle="1" w:styleId="gwy">
    <w:name w:val="gwy"/>
    <w:basedOn w:val="a"/>
    <w:rsid w:val="00AA2634"/>
    <w:pPr>
      <w:widowControl/>
      <w:spacing w:before="100" w:beforeAutospacing="1" w:after="100" w:afterAutospacing="1"/>
      <w:jc w:val="left"/>
    </w:pPr>
    <w:rPr>
      <w:rFonts w:ascii="ˎ̥" w:eastAsia="宋体" w:hAnsi="ˎ̥" w:cs="宋体"/>
      <w:b/>
      <w:bCs/>
      <w:color w:val="003CB3"/>
      <w:kern w:val="0"/>
      <w:sz w:val="19"/>
      <w:szCs w:val="19"/>
    </w:rPr>
  </w:style>
  <w:style w:type="paragraph" w:customStyle="1" w:styleId="tabwqy">
    <w:name w:val="tab_wqy"/>
    <w:basedOn w:val="a"/>
    <w:rsid w:val="00AA2634"/>
    <w:pPr>
      <w:widowControl/>
      <w:spacing w:line="456" w:lineRule="atLeast"/>
      <w:jc w:val="center"/>
    </w:pPr>
    <w:rPr>
      <w:rFonts w:ascii="ˎ̥" w:eastAsia="宋体" w:hAnsi="ˎ̥" w:cs="宋体"/>
      <w:b/>
      <w:bCs/>
      <w:color w:val="868CB3"/>
      <w:kern w:val="0"/>
      <w:sz w:val="20"/>
      <w:szCs w:val="20"/>
    </w:rPr>
  </w:style>
  <w:style w:type="paragraph" w:customStyle="1" w:styleId="make">
    <w:name w:val="make"/>
    <w:basedOn w:val="a"/>
    <w:rsid w:val="00AA2634"/>
    <w:pPr>
      <w:widowControl/>
      <w:spacing w:before="100" w:beforeAutospacing="1" w:after="100" w:afterAutospacing="1"/>
      <w:jc w:val="left"/>
    </w:pPr>
    <w:rPr>
      <w:rFonts w:ascii="ˎ̥" w:eastAsia="宋体" w:hAnsi="ˎ̥" w:cs="宋体"/>
      <w:b/>
      <w:bCs/>
      <w:color w:val="FBFCD8"/>
      <w:kern w:val="0"/>
      <w:sz w:val="20"/>
      <w:szCs w:val="20"/>
    </w:rPr>
  </w:style>
  <w:style w:type="paragraph" w:customStyle="1" w:styleId="buttona">
    <w:name w:val="buttona"/>
    <w:basedOn w:val="a"/>
    <w:rsid w:val="00AA2634"/>
    <w:pPr>
      <w:widowControl/>
      <w:spacing w:before="100" w:beforeAutospacing="1" w:after="100" w:afterAutospacing="1"/>
      <w:jc w:val="left"/>
    </w:pPr>
    <w:rPr>
      <w:rFonts w:ascii="ˎ̥" w:eastAsia="宋体" w:hAnsi="ˎ̥" w:cs="宋体"/>
      <w:color w:val="FFFFFF"/>
      <w:kern w:val="0"/>
      <w:sz w:val="20"/>
      <w:szCs w:val="20"/>
    </w:rPr>
  </w:style>
  <w:style w:type="paragraph" w:customStyle="1" w:styleId="makea">
    <w:name w:val="makea"/>
    <w:basedOn w:val="a"/>
    <w:rsid w:val="00AA2634"/>
    <w:pPr>
      <w:widowControl/>
      <w:spacing w:before="100" w:beforeAutospacing="1" w:after="100" w:afterAutospacing="1"/>
      <w:jc w:val="left"/>
    </w:pPr>
    <w:rPr>
      <w:rFonts w:ascii="ˎ̥" w:eastAsia="宋体" w:hAnsi="ˎ̥" w:cs="宋体"/>
      <w:color w:val="FBFCD8"/>
      <w:kern w:val="0"/>
      <w:sz w:val="20"/>
      <w:szCs w:val="20"/>
    </w:rPr>
  </w:style>
  <w:style w:type="paragraph" w:customStyle="1" w:styleId="tts">
    <w:name w:val="tts"/>
    <w:basedOn w:val="a"/>
    <w:rsid w:val="00AA2634"/>
    <w:pPr>
      <w:widowControl/>
      <w:spacing w:before="100" w:beforeAutospacing="1" w:after="100" w:afterAutospacing="1"/>
      <w:jc w:val="left"/>
    </w:pPr>
    <w:rPr>
      <w:rFonts w:ascii="ˎ̥" w:eastAsia="宋体" w:hAnsi="ˎ̥" w:cs="宋体"/>
      <w:color w:val="363A52"/>
      <w:kern w:val="0"/>
      <w:sz w:val="20"/>
      <w:szCs w:val="20"/>
    </w:rPr>
  </w:style>
  <w:style w:type="paragraph" w:customStyle="1" w:styleId="table">
    <w:name w:val="table"/>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main">
    <w:name w:val="main"/>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xytable">
    <w:name w:val="xytable"/>
    <w:basedOn w:val="a"/>
    <w:rsid w:val="00AA2634"/>
    <w:pPr>
      <w:widowControl/>
      <w:pBdr>
        <w:top w:val="single" w:sz="6" w:space="3" w:color="AAAAAA"/>
        <w:left w:val="single" w:sz="6" w:space="3" w:color="AAAAAA"/>
        <w:bottom w:val="single" w:sz="6" w:space="3" w:color="AAAAAA"/>
        <w:right w:val="single" w:sz="6" w:space="3" w:color="AAAAAA"/>
      </w:pBdr>
      <w:shd w:val="clear" w:color="auto" w:fill="FFFFFF"/>
      <w:spacing w:before="100" w:beforeAutospacing="1" w:after="100" w:afterAutospacing="1"/>
      <w:jc w:val="left"/>
    </w:pPr>
    <w:rPr>
      <w:rFonts w:ascii="ˎ̥" w:eastAsia="宋体" w:hAnsi="ˎ̥" w:cs="宋体"/>
      <w:color w:val="444444"/>
      <w:kern w:val="0"/>
      <w:sz w:val="17"/>
      <w:szCs w:val="17"/>
    </w:rPr>
  </w:style>
  <w:style w:type="paragraph" w:customStyle="1" w:styleId="yhzc">
    <w:name w:val="yhzc"/>
    <w:basedOn w:val="a"/>
    <w:rsid w:val="00AA2634"/>
    <w:pPr>
      <w:widowControl/>
      <w:spacing w:before="100" w:beforeAutospacing="1" w:after="100" w:afterAutospacing="1"/>
      <w:jc w:val="left"/>
    </w:pPr>
    <w:rPr>
      <w:rFonts w:ascii="ˎ̥" w:eastAsia="宋体" w:hAnsi="ˎ̥" w:cs="宋体"/>
      <w:color w:val="000000"/>
      <w:kern w:val="0"/>
      <w:sz w:val="20"/>
      <w:szCs w:val="20"/>
    </w:rPr>
  </w:style>
  <w:style w:type="paragraph" w:customStyle="1" w:styleId="maskcy">
    <w:name w:val="maskcy"/>
    <w:basedOn w:val="a"/>
    <w:rsid w:val="00AA2634"/>
    <w:pPr>
      <w:widowControl/>
      <w:spacing w:before="100" w:beforeAutospacing="1" w:after="100" w:afterAutospacing="1"/>
      <w:jc w:val="left"/>
    </w:pPr>
    <w:rPr>
      <w:rFonts w:ascii="ˎ̥" w:eastAsia="宋体" w:hAnsi="ˎ̥" w:cs="宋体"/>
      <w:color w:val="FFFFFF"/>
      <w:kern w:val="0"/>
      <w:sz w:val="19"/>
      <w:szCs w:val="19"/>
    </w:rPr>
  </w:style>
  <w:style w:type="paragraph" w:customStyle="1" w:styleId="buttoncy">
    <w:name w:val="buttoncy"/>
    <w:basedOn w:val="a"/>
    <w:rsid w:val="00AA2634"/>
    <w:pPr>
      <w:widowControl/>
      <w:spacing w:before="100" w:beforeAutospacing="1" w:after="100" w:afterAutospacing="1"/>
      <w:jc w:val="left"/>
    </w:pPr>
    <w:rPr>
      <w:rFonts w:ascii="ˎ̥" w:eastAsia="宋体" w:hAnsi="ˎ̥" w:cs="宋体"/>
      <w:color w:val="FEFEEF"/>
      <w:kern w:val="0"/>
      <w:sz w:val="19"/>
      <w:szCs w:val="19"/>
    </w:rPr>
  </w:style>
  <w:style w:type="paragraph" w:customStyle="1" w:styleId="maskcya">
    <w:name w:val="maskcya"/>
    <w:basedOn w:val="a"/>
    <w:rsid w:val="00AA2634"/>
    <w:pPr>
      <w:widowControl/>
      <w:spacing w:before="100" w:beforeAutospacing="1" w:after="100" w:afterAutospacing="1"/>
      <w:jc w:val="left"/>
    </w:pPr>
    <w:rPr>
      <w:rFonts w:ascii="ˎ̥" w:eastAsia="宋体" w:hAnsi="ˎ̥" w:cs="宋体"/>
      <w:color w:val="FFFFFF"/>
      <w:kern w:val="0"/>
      <w:sz w:val="19"/>
      <w:szCs w:val="19"/>
    </w:rPr>
  </w:style>
  <w:style w:type="paragraph" w:customStyle="1" w:styleId="buttoncya">
    <w:name w:val="buttoncya"/>
    <w:basedOn w:val="a"/>
    <w:rsid w:val="00AA2634"/>
    <w:pPr>
      <w:widowControl/>
      <w:spacing w:before="100" w:beforeAutospacing="1" w:after="100" w:afterAutospacing="1"/>
      <w:jc w:val="left"/>
    </w:pPr>
    <w:rPr>
      <w:rFonts w:ascii="ˎ̥" w:eastAsia="宋体" w:hAnsi="ˎ̥" w:cs="宋体"/>
      <w:color w:val="FEFEEF"/>
      <w:kern w:val="0"/>
      <w:sz w:val="19"/>
      <w:szCs w:val="19"/>
    </w:rPr>
  </w:style>
  <w:style w:type="paragraph" w:customStyle="1" w:styleId="maskcyb">
    <w:name w:val="maskcyb"/>
    <w:basedOn w:val="a"/>
    <w:rsid w:val="00AA2634"/>
    <w:pPr>
      <w:widowControl/>
      <w:spacing w:before="100" w:beforeAutospacing="1" w:after="100" w:afterAutospacing="1"/>
      <w:jc w:val="left"/>
    </w:pPr>
    <w:rPr>
      <w:rFonts w:ascii="ˎ̥" w:eastAsia="宋体" w:hAnsi="ˎ̥" w:cs="宋体"/>
      <w:color w:val="FFFFFF"/>
      <w:kern w:val="0"/>
      <w:sz w:val="20"/>
      <w:szCs w:val="20"/>
    </w:rPr>
  </w:style>
  <w:style w:type="paragraph" w:customStyle="1" w:styleId="buttoncyb">
    <w:name w:val="buttoncyb"/>
    <w:basedOn w:val="a"/>
    <w:rsid w:val="00AA2634"/>
    <w:pPr>
      <w:widowControl/>
      <w:spacing w:before="100" w:beforeAutospacing="1" w:after="100" w:afterAutospacing="1"/>
      <w:jc w:val="left"/>
    </w:pPr>
    <w:rPr>
      <w:rFonts w:ascii="ˎ̥" w:eastAsia="宋体" w:hAnsi="ˎ̥" w:cs="宋体"/>
      <w:color w:val="FEFEEF"/>
      <w:kern w:val="0"/>
      <w:sz w:val="20"/>
      <w:szCs w:val="20"/>
    </w:rPr>
  </w:style>
  <w:style w:type="paragraph" w:customStyle="1" w:styleId="xtdl">
    <w:name w:val="xtdl"/>
    <w:basedOn w:val="a"/>
    <w:rsid w:val="00AA2634"/>
    <w:pPr>
      <w:widowControl/>
      <w:spacing w:before="100" w:beforeAutospacing="1" w:after="100" w:afterAutospacing="1"/>
      <w:jc w:val="left"/>
    </w:pPr>
    <w:rPr>
      <w:rFonts w:ascii="ˎ̥" w:eastAsia="宋体" w:hAnsi="ˎ̥" w:cs="宋体"/>
      <w:b/>
      <w:bCs/>
      <w:color w:val="4F5672"/>
      <w:kern w:val="0"/>
      <w:sz w:val="20"/>
      <w:szCs w:val="20"/>
    </w:rPr>
  </w:style>
  <w:style w:type="paragraph" w:customStyle="1" w:styleId="titcy">
    <w:name w:val="titcy"/>
    <w:basedOn w:val="a"/>
    <w:rsid w:val="00AA2634"/>
    <w:pPr>
      <w:widowControl/>
      <w:spacing w:before="100" w:beforeAutospacing="1" w:after="100" w:afterAutospacing="1" w:line="480" w:lineRule="auto"/>
      <w:jc w:val="left"/>
    </w:pPr>
    <w:rPr>
      <w:rFonts w:ascii="ˎ̥" w:eastAsia="宋体" w:hAnsi="ˎ̥" w:cs="宋体"/>
      <w:color w:val="000000"/>
      <w:kern w:val="0"/>
      <w:sz w:val="20"/>
      <w:szCs w:val="20"/>
    </w:rPr>
  </w:style>
  <w:style w:type="paragraph" w:customStyle="1" w:styleId="lmtext">
    <w:name w:val="lm_text"/>
    <w:basedOn w:val="a"/>
    <w:rsid w:val="00AA2634"/>
    <w:pPr>
      <w:widowControl/>
      <w:spacing w:before="100" w:beforeAutospacing="1" w:after="100" w:afterAutospacing="1" w:line="328" w:lineRule="atLeast"/>
      <w:jc w:val="center"/>
    </w:pPr>
    <w:rPr>
      <w:rFonts w:ascii="ˎ̥" w:eastAsia="宋体" w:hAnsi="ˎ̥" w:cs="宋体"/>
      <w:color w:val="023EB9"/>
      <w:kern w:val="0"/>
      <w:sz w:val="20"/>
      <w:szCs w:val="20"/>
    </w:rPr>
  </w:style>
  <w:style w:type="paragraph" w:customStyle="1" w:styleId="topbg1">
    <w:name w:val="top_bg1"/>
    <w:basedOn w:val="a"/>
    <w:rsid w:val="00AA2634"/>
    <w:pPr>
      <w:widowControl/>
      <w:spacing w:before="100" w:beforeAutospacing="1" w:after="100" w:afterAutospacing="1"/>
      <w:jc w:val="left"/>
      <w:textAlignment w:val="center"/>
    </w:pPr>
    <w:rPr>
      <w:rFonts w:ascii="ˎ̥" w:eastAsia="宋体" w:hAnsi="ˎ̥" w:cs="宋体"/>
      <w:kern w:val="0"/>
      <w:sz w:val="24"/>
      <w:szCs w:val="24"/>
    </w:rPr>
  </w:style>
  <w:style w:type="paragraph" w:customStyle="1" w:styleId="topbg2">
    <w:name w:val="top_bg2"/>
    <w:basedOn w:val="a"/>
    <w:rsid w:val="00AA2634"/>
    <w:pPr>
      <w:widowControl/>
      <w:spacing w:before="100" w:beforeAutospacing="1" w:after="100" w:afterAutospacing="1"/>
      <w:jc w:val="left"/>
      <w:textAlignment w:val="center"/>
    </w:pPr>
    <w:rPr>
      <w:rFonts w:ascii="ˎ̥" w:eastAsia="宋体" w:hAnsi="ˎ̥" w:cs="宋体"/>
      <w:kern w:val="0"/>
      <w:sz w:val="24"/>
      <w:szCs w:val="24"/>
    </w:rPr>
  </w:style>
  <w:style w:type="paragraph" w:customStyle="1" w:styleId="topbg3">
    <w:name w:val="top_bg3"/>
    <w:basedOn w:val="a"/>
    <w:rsid w:val="00AA2634"/>
    <w:pPr>
      <w:widowControl/>
      <w:spacing w:before="100" w:beforeAutospacing="1" w:after="100" w:afterAutospacing="1"/>
      <w:jc w:val="left"/>
      <w:textAlignment w:val="center"/>
    </w:pPr>
    <w:rPr>
      <w:rFonts w:ascii="ˎ̥" w:eastAsia="宋体" w:hAnsi="ˎ̥" w:cs="宋体"/>
      <w:kern w:val="0"/>
      <w:sz w:val="24"/>
      <w:szCs w:val="24"/>
    </w:rPr>
  </w:style>
  <w:style w:type="paragraph" w:customStyle="1" w:styleId="morebg">
    <w:name w:val="more_bg"/>
    <w:basedOn w:val="a"/>
    <w:rsid w:val="00AA2634"/>
    <w:pPr>
      <w:widowControl/>
      <w:spacing w:before="100" w:beforeAutospacing="1" w:after="100" w:afterAutospacing="1"/>
      <w:jc w:val="left"/>
      <w:textAlignment w:val="center"/>
    </w:pPr>
    <w:rPr>
      <w:rFonts w:ascii="ˎ̥" w:eastAsia="宋体" w:hAnsi="ˎ̥" w:cs="宋体"/>
      <w:kern w:val="0"/>
      <w:sz w:val="24"/>
      <w:szCs w:val="24"/>
    </w:rPr>
  </w:style>
  <w:style w:type="paragraph" w:customStyle="1" w:styleId="tittop">
    <w:name w:val="tit_top"/>
    <w:basedOn w:val="a"/>
    <w:rsid w:val="00AA2634"/>
    <w:pPr>
      <w:widowControl/>
      <w:spacing w:before="100" w:beforeAutospacing="1" w:after="100" w:afterAutospacing="1"/>
      <w:jc w:val="left"/>
    </w:pPr>
    <w:rPr>
      <w:rFonts w:ascii="ˎ̥" w:eastAsia="宋体" w:hAnsi="ˎ̥" w:cs="宋体"/>
      <w:b/>
      <w:bCs/>
      <w:color w:val="890A04"/>
      <w:kern w:val="0"/>
      <w:sz w:val="23"/>
      <w:szCs w:val="23"/>
    </w:rPr>
  </w:style>
  <w:style w:type="paragraph" w:customStyle="1" w:styleId="tittopa">
    <w:name w:val="tit_topa"/>
    <w:basedOn w:val="a"/>
    <w:rsid w:val="00AA2634"/>
    <w:pPr>
      <w:widowControl/>
      <w:spacing w:before="100" w:beforeAutospacing="1" w:after="100" w:afterAutospacing="1"/>
      <w:jc w:val="left"/>
    </w:pPr>
    <w:rPr>
      <w:rFonts w:ascii="ˎ̥" w:eastAsia="宋体" w:hAnsi="ˎ̥" w:cs="宋体"/>
      <w:color w:val="2A3354"/>
      <w:kern w:val="0"/>
      <w:sz w:val="20"/>
      <w:szCs w:val="20"/>
    </w:rPr>
  </w:style>
  <w:style w:type="paragraph" w:customStyle="1" w:styleId="bt">
    <w:name w:val="bt"/>
    <w:basedOn w:val="a"/>
    <w:rsid w:val="00AA2634"/>
    <w:pPr>
      <w:widowControl/>
      <w:spacing w:before="100" w:beforeAutospacing="1" w:after="100" w:afterAutospacing="1"/>
      <w:jc w:val="left"/>
    </w:pPr>
    <w:rPr>
      <w:rFonts w:ascii="ˎ̥" w:eastAsia="宋体" w:hAnsi="ˎ̥" w:cs="宋体"/>
      <w:color w:val="000000"/>
      <w:kern w:val="0"/>
      <w:sz w:val="24"/>
      <w:szCs w:val="24"/>
    </w:rPr>
  </w:style>
  <w:style w:type="paragraph" w:customStyle="1" w:styleId="zfgk">
    <w:name w:val="zfgk"/>
    <w:basedOn w:val="a"/>
    <w:rsid w:val="00AA2634"/>
    <w:pPr>
      <w:widowControl/>
      <w:spacing w:before="100" w:beforeAutospacing="1" w:after="100" w:afterAutospacing="1"/>
      <w:jc w:val="left"/>
    </w:pPr>
    <w:rPr>
      <w:rFonts w:ascii="ˎ̥" w:eastAsia="宋体" w:hAnsi="ˎ̥" w:cs="宋体"/>
      <w:b/>
      <w:bCs/>
      <w:color w:val="A60201"/>
      <w:kern w:val="0"/>
      <w:sz w:val="23"/>
      <w:szCs w:val="23"/>
    </w:rPr>
  </w:style>
  <w:style w:type="paragraph" w:customStyle="1" w:styleId="yhzczfxx">
    <w:name w:val="yhzczfxx"/>
    <w:basedOn w:val="a"/>
    <w:rsid w:val="00AA2634"/>
    <w:pPr>
      <w:widowControl/>
      <w:spacing w:before="100" w:beforeAutospacing="1" w:after="100" w:afterAutospacing="1"/>
      <w:jc w:val="left"/>
    </w:pPr>
    <w:rPr>
      <w:rFonts w:ascii="ˎ̥" w:eastAsia="宋体" w:hAnsi="ˎ̥" w:cs="宋体"/>
      <w:color w:val="000000"/>
      <w:spacing w:val="-14"/>
      <w:kern w:val="0"/>
      <w:sz w:val="17"/>
      <w:szCs w:val="17"/>
    </w:rPr>
  </w:style>
  <w:style w:type="paragraph" w:customStyle="1" w:styleId="lanmu">
    <w:name w:val="lanmu"/>
    <w:basedOn w:val="a"/>
    <w:rsid w:val="00AA2634"/>
    <w:pPr>
      <w:widowControl/>
      <w:spacing w:before="100" w:beforeAutospacing="1" w:after="100" w:afterAutospacing="1"/>
      <w:jc w:val="center"/>
    </w:pPr>
    <w:rPr>
      <w:rFonts w:ascii="ˎ̥" w:eastAsia="宋体" w:hAnsi="ˎ̥" w:cs="宋体"/>
      <w:b/>
      <w:bCs/>
      <w:color w:val="2D4EB3"/>
      <w:kern w:val="0"/>
      <w:sz w:val="24"/>
      <w:szCs w:val="24"/>
    </w:rPr>
  </w:style>
  <w:style w:type="paragraph" w:customStyle="1" w:styleId="lanmuback">
    <w:name w:val="lanmu_back"/>
    <w:basedOn w:val="a"/>
    <w:rsid w:val="00AA2634"/>
    <w:pPr>
      <w:widowControl/>
      <w:spacing w:before="100" w:beforeAutospacing="1" w:after="100" w:afterAutospacing="1"/>
      <w:jc w:val="center"/>
    </w:pPr>
    <w:rPr>
      <w:rFonts w:ascii="ˎ̥" w:eastAsia="宋体" w:hAnsi="ˎ̥" w:cs="宋体"/>
      <w:color w:val="505873"/>
      <w:kern w:val="0"/>
      <w:sz w:val="24"/>
      <w:szCs w:val="24"/>
    </w:rPr>
  </w:style>
  <w:style w:type="paragraph" w:customStyle="1" w:styleId="cytztitle">
    <w:name w:val="cytz_title"/>
    <w:basedOn w:val="a"/>
    <w:rsid w:val="00AA2634"/>
    <w:pPr>
      <w:widowControl/>
      <w:spacing w:before="100" w:beforeAutospacing="1" w:after="100" w:afterAutospacing="1"/>
      <w:jc w:val="left"/>
    </w:pPr>
    <w:rPr>
      <w:rFonts w:ascii="ˎ̥" w:eastAsia="宋体" w:hAnsi="ˎ̥" w:cs="宋体"/>
      <w:b/>
      <w:bCs/>
      <w:color w:val="000000"/>
      <w:kern w:val="0"/>
      <w:sz w:val="20"/>
      <w:szCs w:val="20"/>
    </w:rPr>
  </w:style>
  <w:style w:type="paragraph" w:customStyle="1" w:styleId="cytzlefttit">
    <w:name w:val="cytz_left_tit"/>
    <w:basedOn w:val="a"/>
    <w:rsid w:val="00AA2634"/>
    <w:pPr>
      <w:widowControl/>
      <w:spacing w:before="100" w:beforeAutospacing="1" w:after="100" w:afterAutospacing="1"/>
      <w:jc w:val="center"/>
    </w:pPr>
    <w:rPr>
      <w:rFonts w:ascii="ˎ̥" w:eastAsia="宋体" w:hAnsi="ˎ̥" w:cs="宋体"/>
      <w:b/>
      <w:bCs/>
      <w:color w:val="003399"/>
      <w:kern w:val="0"/>
      <w:sz w:val="20"/>
      <w:szCs w:val="20"/>
    </w:rPr>
  </w:style>
  <w:style w:type="paragraph" w:customStyle="1" w:styleId="cytzleftmenubox">
    <w:name w:val="cytz_left_menu_box"/>
    <w:basedOn w:val="a"/>
    <w:rsid w:val="00AA2634"/>
    <w:pPr>
      <w:widowControl/>
      <w:spacing w:before="100" w:beforeAutospacing="1" w:after="100" w:afterAutospacing="1"/>
      <w:jc w:val="left"/>
    </w:pPr>
    <w:rPr>
      <w:rFonts w:ascii="ˎ̥" w:eastAsia="宋体" w:hAnsi="ˎ̥" w:cs="宋体"/>
      <w:kern w:val="0"/>
      <w:sz w:val="20"/>
      <w:szCs w:val="20"/>
    </w:rPr>
  </w:style>
  <w:style w:type="paragraph" w:customStyle="1" w:styleId="cytzleftmenu1">
    <w:name w:val="cytz_left_menu1"/>
    <w:basedOn w:val="a"/>
    <w:rsid w:val="00AA2634"/>
    <w:pPr>
      <w:widowControl/>
      <w:spacing w:before="100" w:beforeAutospacing="1" w:after="100" w:afterAutospacing="1"/>
      <w:jc w:val="left"/>
    </w:pPr>
    <w:rPr>
      <w:rFonts w:ascii="ˎ̥" w:eastAsia="宋体" w:hAnsi="ˎ̥" w:cs="宋体"/>
      <w:color w:val="264399"/>
      <w:kern w:val="0"/>
      <w:sz w:val="24"/>
      <w:szCs w:val="24"/>
    </w:rPr>
  </w:style>
  <w:style w:type="paragraph" w:customStyle="1" w:styleId="cytzleftmenu2">
    <w:name w:val="cytz_left_menu2"/>
    <w:basedOn w:val="a"/>
    <w:rsid w:val="00AA2634"/>
    <w:pPr>
      <w:widowControl/>
      <w:spacing w:before="100" w:beforeAutospacing="1" w:after="100" w:afterAutospacing="1"/>
      <w:jc w:val="left"/>
    </w:pPr>
    <w:rPr>
      <w:rFonts w:ascii="ˎ̥" w:eastAsia="宋体" w:hAnsi="ˎ̥" w:cs="宋体"/>
      <w:color w:val="264399"/>
      <w:kern w:val="0"/>
      <w:sz w:val="24"/>
      <w:szCs w:val="24"/>
    </w:rPr>
  </w:style>
  <w:style w:type="paragraph" w:customStyle="1" w:styleId="cytzleftmenuselected">
    <w:name w:val="cytz_left_menu_selected"/>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rysbuttonzw">
    <w:name w:val="rysbuttonzw"/>
    <w:basedOn w:val="a"/>
    <w:rsid w:val="00AA2634"/>
    <w:pPr>
      <w:widowControl/>
      <w:spacing w:before="100" w:beforeAutospacing="1" w:after="100" w:afterAutospacing="1"/>
      <w:jc w:val="left"/>
    </w:pPr>
    <w:rPr>
      <w:rFonts w:ascii="ˎ̥" w:eastAsia="宋体" w:hAnsi="ˎ̥" w:cs="宋体"/>
      <w:b/>
      <w:bCs/>
      <w:color w:val="FEFFE1"/>
      <w:kern w:val="0"/>
      <w:szCs w:val="21"/>
    </w:rPr>
  </w:style>
  <w:style w:type="paragraph" w:customStyle="1" w:styleId="rysmask">
    <w:name w:val="rysmask"/>
    <w:basedOn w:val="a"/>
    <w:rsid w:val="00AA2634"/>
    <w:pPr>
      <w:widowControl/>
      <w:spacing w:before="100" w:beforeAutospacing="1" w:after="100" w:afterAutospacing="1"/>
      <w:jc w:val="left"/>
    </w:pPr>
    <w:rPr>
      <w:rFonts w:ascii="ˎ̥" w:eastAsia="宋体" w:hAnsi="ˎ̥" w:cs="宋体"/>
      <w:b/>
      <w:bCs/>
      <w:color w:val="FFFFFF"/>
      <w:kern w:val="0"/>
      <w:szCs w:val="21"/>
    </w:rPr>
  </w:style>
  <w:style w:type="paragraph" w:customStyle="1" w:styleId="gktext">
    <w:name w:val="gk_text"/>
    <w:basedOn w:val="a"/>
    <w:rsid w:val="00AA2634"/>
    <w:pPr>
      <w:widowControl/>
      <w:spacing w:before="100" w:beforeAutospacing="1" w:after="100" w:afterAutospacing="1" w:line="328" w:lineRule="atLeast"/>
      <w:jc w:val="left"/>
    </w:pPr>
    <w:rPr>
      <w:rFonts w:ascii="ˎ̥" w:eastAsia="宋体" w:hAnsi="ˎ̥" w:cs="宋体"/>
      <w:b/>
      <w:bCs/>
      <w:color w:val="BD0101"/>
      <w:kern w:val="0"/>
      <w:sz w:val="17"/>
      <w:szCs w:val="17"/>
    </w:rPr>
  </w:style>
  <w:style w:type="paragraph" w:customStyle="1" w:styleId="yytitle1">
    <w:name w:val="yytitle1"/>
    <w:basedOn w:val="a"/>
    <w:rsid w:val="00AA2634"/>
    <w:pPr>
      <w:widowControl/>
      <w:spacing w:before="100" w:beforeAutospacing="1" w:after="100" w:afterAutospacing="1"/>
      <w:jc w:val="left"/>
    </w:pPr>
    <w:rPr>
      <w:rFonts w:ascii="ˎ̥" w:eastAsia="宋体" w:hAnsi="ˎ̥" w:cs="宋体"/>
      <w:b/>
      <w:bCs/>
      <w:color w:val="062076"/>
      <w:kern w:val="0"/>
      <w:sz w:val="20"/>
      <w:szCs w:val="20"/>
    </w:rPr>
  </w:style>
  <w:style w:type="paragraph" w:customStyle="1" w:styleId="yymore1">
    <w:name w:val="yymore1"/>
    <w:basedOn w:val="a"/>
    <w:rsid w:val="00AA2634"/>
    <w:pPr>
      <w:widowControl/>
      <w:spacing w:before="100" w:beforeAutospacing="1" w:after="100" w:afterAutospacing="1"/>
      <w:jc w:val="left"/>
    </w:pPr>
    <w:rPr>
      <w:rFonts w:ascii="ˎ̥" w:eastAsia="宋体" w:hAnsi="ˎ̥" w:cs="宋体"/>
      <w:kern w:val="0"/>
      <w:sz w:val="17"/>
      <w:szCs w:val="17"/>
    </w:rPr>
  </w:style>
  <w:style w:type="paragraph" w:customStyle="1" w:styleId="ddhhome">
    <w:name w:val="ddhhome"/>
    <w:basedOn w:val="a"/>
    <w:rsid w:val="00AA2634"/>
    <w:pPr>
      <w:widowControl/>
      <w:spacing w:before="100" w:beforeAutospacing="1" w:after="100" w:afterAutospacing="1"/>
      <w:jc w:val="left"/>
    </w:pPr>
    <w:rPr>
      <w:rFonts w:ascii="ˎ̥" w:eastAsia="宋体" w:hAnsi="ˎ̥" w:cs="宋体"/>
      <w:color w:val="000000"/>
      <w:kern w:val="0"/>
      <w:sz w:val="17"/>
      <w:szCs w:val="17"/>
    </w:rPr>
  </w:style>
  <w:style w:type="paragraph" w:customStyle="1" w:styleId="txtdc">
    <w:name w:val="txtdc"/>
    <w:basedOn w:val="a"/>
    <w:rsid w:val="00AA2634"/>
    <w:pPr>
      <w:widowControl/>
      <w:pBdr>
        <w:bottom w:val="single" w:sz="6" w:space="0" w:color="000000"/>
      </w:pBdr>
      <w:spacing w:before="100" w:beforeAutospacing="1" w:after="100" w:afterAutospacing="1"/>
      <w:jc w:val="left"/>
    </w:pPr>
    <w:rPr>
      <w:rFonts w:ascii="ˎ̥" w:eastAsia="宋体" w:hAnsi="ˎ̥" w:cs="宋体"/>
      <w:color w:val="005AA7"/>
      <w:kern w:val="0"/>
      <w:sz w:val="24"/>
      <w:szCs w:val="24"/>
    </w:rPr>
  </w:style>
  <w:style w:type="paragraph" w:customStyle="1" w:styleId="gwubuttona">
    <w:name w:val="gwu_buttona"/>
    <w:basedOn w:val="a"/>
    <w:rsid w:val="00AA2634"/>
    <w:pPr>
      <w:widowControl/>
      <w:spacing w:before="100" w:beforeAutospacing="1" w:after="100" w:afterAutospacing="1"/>
      <w:jc w:val="left"/>
    </w:pPr>
    <w:rPr>
      <w:rFonts w:ascii="ˎ̥" w:eastAsia="宋体" w:hAnsi="ˎ̥" w:cs="宋体"/>
      <w:color w:val="4D4D4D"/>
      <w:kern w:val="0"/>
      <w:sz w:val="17"/>
      <w:szCs w:val="17"/>
    </w:rPr>
  </w:style>
  <w:style w:type="paragraph" w:customStyle="1" w:styleId="gwubuttonb">
    <w:name w:val="gwu_buttonb"/>
    <w:basedOn w:val="a"/>
    <w:rsid w:val="00AA2634"/>
    <w:pPr>
      <w:widowControl/>
      <w:spacing w:before="100" w:beforeAutospacing="1" w:after="100" w:afterAutospacing="1"/>
      <w:jc w:val="left"/>
    </w:pPr>
    <w:rPr>
      <w:rFonts w:ascii="ˎ̥" w:eastAsia="宋体" w:hAnsi="ˎ̥" w:cs="宋体"/>
      <w:color w:val="000000"/>
      <w:kern w:val="0"/>
      <w:sz w:val="17"/>
      <w:szCs w:val="17"/>
    </w:rPr>
  </w:style>
  <w:style w:type="paragraph" w:customStyle="1" w:styleId="vol1">
    <w:name w:val="vol1"/>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td1">
    <w:name w:val="td1"/>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vol2">
    <w:name w:val="vol2"/>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td2">
    <w:name w:val="td2"/>
    <w:basedOn w:val="a"/>
    <w:rsid w:val="00AA2634"/>
    <w:pPr>
      <w:widowControl/>
      <w:spacing w:before="100" w:beforeAutospacing="1" w:after="100" w:afterAutospacing="1"/>
      <w:jc w:val="left"/>
    </w:pPr>
    <w:rPr>
      <w:rFonts w:ascii="ˎ̥" w:eastAsia="宋体" w:hAnsi="ˎ̥" w:cs="宋体"/>
      <w:kern w:val="0"/>
      <w:sz w:val="24"/>
      <w:szCs w:val="24"/>
    </w:rPr>
  </w:style>
  <w:style w:type="paragraph" w:customStyle="1" w:styleId="vol11">
    <w:name w:val="vol11"/>
    <w:basedOn w:val="a"/>
    <w:rsid w:val="00AA2634"/>
    <w:pPr>
      <w:widowControl/>
      <w:pBdr>
        <w:left w:val="single" w:sz="6" w:space="0" w:color="C4B7B1"/>
        <w:bottom w:val="single" w:sz="6" w:space="0" w:color="C4B7B1"/>
        <w:right w:val="single" w:sz="6" w:space="0" w:color="C4B7B1"/>
      </w:pBdr>
      <w:shd w:val="clear" w:color="auto" w:fill="FFDFD9"/>
      <w:spacing w:before="100" w:beforeAutospacing="1" w:after="100" w:afterAutospacing="1"/>
      <w:jc w:val="center"/>
    </w:pPr>
    <w:rPr>
      <w:rFonts w:ascii="ˎ̥" w:eastAsia="宋体" w:hAnsi="ˎ̥" w:cs="宋体"/>
      <w:b/>
      <w:bCs/>
      <w:color w:val="AD0000"/>
      <w:kern w:val="0"/>
      <w:sz w:val="20"/>
      <w:szCs w:val="20"/>
    </w:rPr>
  </w:style>
  <w:style w:type="paragraph" w:customStyle="1" w:styleId="td11">
    <w:name w:val="td11"/>
    <w:basedOn w:val="a"/>
    <w:rsid w:val="00AA2634"/>
    <w:pPr>
      <w:widowControl/>
      <w:pBdr>
        <w:bottom w:val="single" w:sz="6" w:space="7" w:color="C4B7B1"/>
      </w:pBdr>
      <w:shd w:val="clear" w:color="auto" w:fill="DFEBF2"/>
      <w:spacing w:before="100" w:beforeAutospacing="1" w:after="100" w:afterAutospacing="1"/>
      <w:jc w:val="left"/>
    </w:pPr>
    <w:rPr>
      <w:rFonts w:ascii="ˎ̥" w:eastAsia="宋体" w:hAnsi="ˎ̥" w:cs="宋体"/>
      <w:color w:val="404040"/>
      <w:kern w:val="0"/>
      <w:sz w:val="20"/>
      <w:szCs w:val="20"/>
    </w:rPr>
  </w:style>
  <w:style w:type="paragraph" w:customStyle="1" w:styleId="vol21">
    <w:name w:val="vol21"/>
    <w:basedOn w:val="a"/>
    <w:rsid w:val="00AA2634"/>
    <w:pPr>
      <w:widowControl/>
      <w:pBdr>
        <w:left w:val="single" w:sz="6" w:space="0" w:color="C4B7B1"/>
        <w:bottom w:val="single" w:sz="6" w:space="0" w:color="C4B7B1"/>
        <w:right w:val="single" w:sz="6" w:space="0" w:color="C4B7B1"/>
      </w:pBdr>
      <w:shd w:val="clear" w:color="auto" w:fill="FFE8D1"/>
      <w:spacing w:before="100" w:beforeAutospacing="1" w:after="100" w:afterAutospacing="1"/>
      <w:jc w:val="center"/>
    </w:pPr>
    <w:rPr>
      <w:rFonts w:ascii="ˎ̥" w:eastAsia="宋体" w:hAnsi="ˎ̥" w:cs="宋体"/>
      <w:b/>
      <w:bCs/>
      <w:color w:val="AD0000"/>
      <w:kern w:val="0"/>
      <w:sz w:val="20"/>
      <w:szCs w:val="20"/>
    </w:rPr>
  </w:style>
  <w:style w:type="paragraph" w:customStyle="1" w:styleId="td21">
    <w:name w:val="td21"/>
    <w:basedOn w:val="a"/>
    <w:rsid w:val="00AA2634"/>
    <w:pPr>
      <w:widowControl/>
      <w:pBdr>
        <w:bottom w:val="single" w:sz="6" w:space="7" w:color="C4B7B1"/>
      </w:pBdr>
      <w:shd w:val="clear" w:color="auto" w:fill="F2FAFF"/>
      <w:spacing w:before="100" w:beforeAutospacing="1" w:after="100" w:afterAutospacing="1"/>
      <w:jc w:val="left"/>
    </w:pPr>
    <w:rPr>
      <w:rFonts w:ascii="ˎ̥" w:eastAsia="宋体" w:hAnsi="ˎ̥" w:cs="宋体"/>
      <w:color w:val="404040"/>
      <w:kern w:val="0"/>
      <w:sz w:val="20"/>
      <w:szCs w:val="20"/>
    </w:rPr>
  </w:style>
  <w:style w:type="character" w:styleId="a8">
    <w:name w:val="Strong"/>
    <w:basedOn w:val="a0"/>
    <w:uiPriority w:val="22"/>
    <w:qFormat/>
    <w:rsid w:val="00AA263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2604</Words>
  <Characters>14848</Characters>
  <Application>Microsoft Office Word</Application>
  <DocSecurity>0</DocSecurity>
  <Lines>123</Lines>
  <Paragraphs>34</Paragraphs>
  <ScaleCrop>false</ScaleCrop>
  <Company/>
  <LinksUpToDate>false</LinksUpToDate>
  <CharactersWithSpaces>17418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spzxzx</dc:creator>
  <cp:keywords/>
  <dc:description/>
  <cp:lastModifiedBy>spzxzx</cp:lastModifiedBy>
  <cp:revision>4</cp:revision>
  <dcterms:created xsi:type="dcterms:W3CDTF">2014-02-18T06:04:00Z</dcterms:created>
  <dcterms:modified xsi:type="dcterms:W3CDTF">2014-02-18T06:06:00Z</dcterms:modified>
</cp:coreProperties>
</file>